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71" w:rsidRPr="00DE3771" w:rsidRDefault="00DE3771" w:rsidP="00D8498A">
      <w:pPr>
        <w:jc w:val="both"/>
        <w:rPr>
          <w:b/>
          <w:bCs/>
        </w:rPr>
      </w:pPr>
      <w:bookmarkStart w:id="0" w:name="dzia%C5%82III"/>
      <w:r w:rsidRPr="00DE3771">
        <w:rPr>
          <w:b/>
          <w:bCs/>
        </w:rPr>
        <w:t>DZIAŁ III      ISTOTNE POSTANOWIENIA UMOWY O WYKONANIE ZAMÓWIENIA PUBLICZNEGO</w:t>
      </w:r>
    </w:p>
    <w:bookmarkEnd w:id="0"/>
    <w:p w:rsidR="00DE3771" w:rsidRPr="00DE3771" w:rsidRDefault="00DE3771" w:rsidP="00D8498A">
      <w:pPr>
        <w:jc w:val="both"/>
      </w:pPr>
    </w:p>
    <w:p w:rsidR="00DE3771" w:rsidRPr="00DE3771" w:rsidRDefault="00A53C96" w:rsidP="00D8498A">
      <w:pPr>
        <w:jc w:val="both"/>
      </w:pPr>
      <w:r>
        <w:rPr>
          <w:b/>
        </w:rPr>
        <w:t>ZADANIE 2</w:t>
      </w:r>
      <w:r w:rsidR="00DE3771">
        <w:rPr>
          <w:b/>
        </w:rPr>
        <w:t xml:space="preserve"> Ubezpieczenie mienia i odpowiedzialności cywilnej </w:t>
      </w:r>
      <w:r w:rsidR="008A0137">
        <w:rPr>
          <w:b/>
        </w:rPr>
        <w:t>Miejskiego Przedsiębiorstwa Wodociągów i Kanalizacji</w:t>
      </w:r>
      <w:r w:rsidR="00367FAD">
        <w:rPr>
          <w:b/>
        </w:rPr>
        <w:t xml:space="preserve"> Sp. z o.o.</w:t>
      </w:r>
    </w:p>
    <w:p w:rsidR="00DE3771" w:rsidRPr="00DE3771" w:rsidRDefault="00DE3771" w:rsidP="00D8498A">
      <w:pPr>
        <w:jc w:val="both"/>
      </w:pPr>
    </w:p>
    <w:p w:rsidR="00DE3771" w:rsidRPr="00DE3771" w:rsidRDefault="00DE3771" w:rsidP="00FC7F6F">
      <w:r w:rsidRPr="00DE3771">
        <w:t>Umowa nr ……………………………</w:t>
      </w:r>
      <w:r w:rsidRPr="00DE3771">
        <w:br/>
        <w:t xml:space="preserve">o wykonanie zamówienia publicznego </w:t>
      </w:r>
      <w:r w:rsidRPr="00DE3771">
        <w:br/>
        <w:t>na ubezpieczenie mienia i odpowiedzialności cywilnej</w:t>
      </w:r>
    </w:p>
    <w:p w:rsidR="00DE3771" w:rsidRPr="00DE3771" w:rsidRDefault="009A4EC4" w:rsidP="00FC7F6F">
      <w:pPr>
        <w:rPr>
          <w:b/>
          <w:i/>
          <w:u w:val="single"/>
        </w:rPr>
      </w:pPr>
      <w:r w:rsidRPr="009A4EC4">
        <w:t>Miejskiego Przedsiębiorstwa Wodociągów i Kanalizacji Sp. z o.o.</w:t>
      </w:r>
      <w:r w:rsidR="00DE3771" w:rsidRPr="00DE3771">
        <w:br/>
        <w:t>w okresie od 01.01.2016 r. do 31.12.2018 r.</w:t>
      </w:r>
    </w:p>
    <w:p w:rsidR="00DE3771" w:rsidRPr="00DE3771" w:rsidRDefault="00DE3771" w:rsidP="00D8498A">
      <w:pPr>
        <w:jc w:val="both"/>
        <w:rPr>
          <w:b/>
          <w:i/>
          <w:u w:val="single"/>
        </w:rPr>
      </w:pPr>
    </w:p>
    <w:p w:rsidR="00DE3771" w:rsidRPr="00DE3771" w:rsidRDefault="00DE3771" w:rsidP="00D8498A">
      <w:pPr>
        <w:jc w:val="both"/>
        <w:rPr>
          <w:b/>
        </w:rPr>
      </w:pPr>
      <w:r w:rsidRPr="00DE3771">
        <w:rPr>
          <w:b/>
        </w:rPr>
        <w:t>W dniu …………………….. 2015 r. w Łodzi pomiędzy:</w:t>
      </w:r>
    </w:p>
    <w:p w:rsidR="00DE3771" w:rsidRPr="00DE3771" w:rsidRDefault="00DE3771" w:rsidP="00D8498A">
      <w:pPr>
        <w:jc w:val="both"/>
        <w:rPr>
          <w:b/>
        </w:rPr>
      </w:pPr>
    </w:p>
    <w:p w:rsidR="00DE3771" w:rsidRPr="00DE3771" w:rsidRDefault="009A4EC4" w:rsidP="00D8498A">
      <w:pPr>
        <w:jc w:val="both"/>
      </w:pPr>
      <w:r>
        <w:rPr>
          <w:b/>
        </w:rPr>
        <w:t xml:space="preserve">Miejskim Przedsiębiorstwem Wodociągów i kanalizacji Sp. z o.o. </w:t>
      </w:r>
      <w:r w:rsidR="00DE3771" w:rsidRPr="00DE3771">
        <w:t xml:space="preserve">, </w:t>
      </w:r>
      <w:r w:rsidRPr="009A4EC4">
        <w:t>ul. Tylna 9, 98-100 Łask</w:t>
      </w:r>
    </w:p>
    <w:p w:rsidR="00DE3771" w:rsidRPr="00DE3771" w:rsidRDefault="00DE3771" w:rsidP="00D8498A">
      <w:pPr>
        <w:jc w:val="both"/>
      </w:pPr>
      <w:r w:rsidRPr="00DE3771">
        <w:t>reprezentowanym przez:</w:t>
      </w:r>
    </w:p>
    <w:p w:rsidR="00DE3771" w:rsidRPr="00DE3771" w:rsidRDefault="00DE3771" w:rsidP="00D8498A">
      <w:pPr>
        <w:numPr>
          <w:ilvl w:val="0"/>
          <w:numId w:val="12"/>
        </w:numPr>
        <w:jc w:val="both"/>
      </w:pPr>
      <w:r w:rsidRPr="00DE3771">
        <w:t>………………………………………………. - ……………………………………………………</w:t>
      </w:r>
    </w:p>
    <w:p w:rsidR="00DE3771" w:rsidRPr="00DE3771" w:rsidRDefault="00DE3771" w:rsidP="00D8498A">
      <w:pPr>
        <w:numPr>
          <w:ilvl w:val="0"/>
          <w:numId w:val="12"/>
        </w:numPr>
        <w:jc w:val="both"/>
      </w:pPr>
      <w:r w:rsidRPr="00DE3771">
        <w:t>………………………………………………. - ……………………………………………………</w:t>
      </w:r>
    </w:p>
    <w:p w:rsidR="00DE3771" w:rsidRPr="00DE3771" w:rsidRDefault="00DE3771" w:rsidP="00D8498A">
      <w:pPr>
        <w:jc w:val="both"/>
      </w:pPr>
      <w:r w:rsidRPr="00DE3771">
        <w:t xml:space="preserve">zwanym dalej </w:t>
      </w:r>
      <w:r w:rsidRPr="00DE3771">
        <w:rPr>
          <w:b/>
        </w:rPr>
        <w:t>Zamawiającym</w:t>
      </w:r>
    </w:p>
    <w:p w:rsidR="00DE3771" w:rsidRPr="00DE3771" w:rsidRDefault="00DE3771" w:rsidP="00D8498A">
      <w:pPr>
        <w:jc w:val="both"/>
      </w:pPr>
    </w:p>
    <w:p w:rsidR="00DE3771" w:rsidRPr="00DE3771" w:rsidRDefault="00DE3771" w:rsidP="00D8498A">
      <w:pPr>
        <w:jc w:val="both"/>
        <w:rPr>
          <w:b/>
        </w:rPr>
      </w:pPr>
      <w:r w:rsidRPr="00DE3771">
        <w:t>a</w:t>
      </w:r>
    </w:p>
    <w:p w:rsidR="00DE3771" w:rsidRPr="00DE3771" w:rsidRDefault="00DE3771" w:rsidP="00D8498A">
      <w:pPr>
        <w:jc w:val="both"/>
      </w:pPr>
      <w:r w:rsidRPr="00DE3771">
        <w:rPr>
          <w:b/>
        </w:rPr>
        <w:t>………………………………………………………………………………………………………………………………………………………</w:t>
      </w:r>
      <w:r w:rsidRPr="00DE3771">
        <w:t>, reprezentowanym przez:</w:t>
      </w:r>
    </w:p>
    <w:p w:rsidR="00DE3771" w:rsidRPr="00DE3771" w:rsidRDefault="00DE3771" w:rsidP="00D8498A">
      <w:pPr>
        <w:numPr>
          <w:ilvl w:val="0"/>
          <w:numId w:val="13"/>
        </w:numPr>
        <w:jc w:val="both"/>
      </w:pPr>
      <w:r w:rsidRPr="00DE3771">
        <w:t>………………………………………………. – …………………………………………………….</w:t>
      </w:r>
    </w:p>
    <w:p w:rsidR="00DE3771" w:rsidRPr="00DE3771" w:rsidRDefault="00DE3771" w:rsidP="00D8498A">
      <w:pPr>
        <w:jc w:val="both"/>
      </w:pPr>
      <w:r w:rsidRPr="00DE3771">
        <w:t xml:space="preserve">zwanym dalej </w:t>
      </w:r>
      <w:r w:rsidRPr="00DE3771">
        <w:rPr>
          <w:b/>
        </w:rPr>
        <w:t>Wykonawcą</w:t>
      </w:r>
    </w:p>
    <w:p w:rsidR="00DE3771" w:rsidRPr="00DE3771" w:rsidRDefault="00DE3771" w:rsidP="00D8498A">
      <w:pPr>
        <w:jc w:val="both"/>
      </w:pPr>
    </w:p>
    <w:p w:rsidR="00DE3771" w:rsidRPr="00DE3771" w:rsidRDefault="00DE3771" w:rsidP="00D8498A">
      <w:pPr>
        <w:jc w:val="both"/>
      </w:pPr>
      <w:r w:rsidRPr="00DE3771">
        <w:t xml:space="preserve">została zawarta umowa o wykonanie zamówienia publicznego, zwana dalej </w:t>
      </w:r>
      <w:r w:rsidRPr="00DE3771">
        <w:rPr>
          <w:b/>
        </w:rPr>
        <w:t xml:space="preserve">Umową, </w:t>
      </w:r>
      <w:r w:rsidRPr="00DE3771">
        <w:t>o następującej treści:</w:t>
      </w:r>
    </w:p>
    <w:p w:rsidR="00DE3771" w:rsidRPr="00DE3771" w:rsidRDefault="00DE3771" w:rsidP="00D8498A">
      <w:pPr>
        <w:jc w:val="both"/>
      </w:pPr>
    </w:p>
    <w:p w:rsidR="00DE3771" w:rsidRPr="00DE3771" w:rsidRDefault="00DE3771" w:rsidP="00D8498A">
      <w:pPr>
        <w:jc w:val="both"/>
      </w:pPr>
      <w:r w:rsidRPr="00DE3771">
        <w:t xml:space="preserve">Umowa zostaje zawarta po przeprowadzeniu postępowania o zamówienie publiczne w trybie przetargu nieograniczonego zgodnie z ustawą z dnia 29 stycznia 2004 r. Prawo zamówień publicznych (Dz. U. z 2013 r. poz. 907, ze zm.) dalej „ustawa </w:t>
      </w:r>
      <w:proofErr w:type="spellStart"/>
      <w:r w:rsidRPr="00DE3771">
        <w:t>p.z.p</w:t>
      </w:r>
      <w:proofErr w:type="spellEnd"/>
      <w:r w:rsidRPr="00DE3771">
        <w:t>.”.</w:t>
      </w:r>
    </w:p>
    <w:p w:rsidR="00DE3771" w:rsidRDefault="00DE3771" w:rsidP="00D8498A">
      <w:pPr>
        <w:jc w:val="both"/>
      </w:pPr>
    </w:p>
    <w:p w:rsidR="003A63A7" w:rsidRDefault="003A63A7" w:rsidP="00D8498A">
      <w:pPr>
        <w:jc w:val="both"/>
      </w:pPr>
    </w:p>
    <w:p w:rsidR="004C34A1" w:rsidRPr="00DE3771" w:rsidRDefault="004C34A1" w:rsidP="00D8498A">
      <w:pPr>
        <w:jc w:val="both"/>
      </w:pPr>
    </w:p>
    <w:p w:rsidR="00DE3771" w:rsidRPr="00DE3771" w:rsidRDefault="00DE3771" w:rsidP="004C34A1">
      <w:pPr>
        <w:jc w:val="center"/>
        <w:rPr>
          <w:b/>
        </w:rPr>
      </w:pPr>
      <w:r w:rsidRPr="00DE3771">
        <w:rPr>
          <w:b/>
        </w:rPr>
        <w:lastRenderedPageBreak/>
        <w:t>§ 1</w:t>
      </w:r>
    </w:p>
    <w:p w:rsidR="00DE3771" w:rsidRPr="00DE3771" w:rsidRDefault="00DE3771" w:rsidP="004C34A1">
      <w:pPr>
        <w:jc w:val="center"/>
      </w:pPr>
      <w:r w:rsidRPr="00DE3771">
        <w:rPr>
          <w:b/>
        </w:rPr>
        <w:t>Przedmiot zamówienia</w:t>
      </w:r>
    </w:p>
    <w:p w:rsidR="00DE3771" w:rsidRPr="00DE3771" w:rsidRDefault="00DE3771" w:rsidP="007F0474">
      <w:pPr>
        <w:numPr>
          <w:ilvl w:val="0"/>
          <w:numId w:val="15"/>
        </w:numPr>
        <w:tabs>
          <w:tab w:val="clear" w:pos="360"/>
          <w:tab w:val="num" w:pos="1440"/>
        </w:tabs>
        <w:jc w:val="both"/>
      </w:pPr>
      <w:r w:rsidRPr="00DE3771">
        <w:t xml:space="preserve">Przedmiotem Umowy jest świadczenie przez Wykonawcę usług ubezpieczenia na rzecz Zamawiającego w następującym zakresie: </w:t>
      </w:r>
    </w:p>
    <w:p w:rsidR="00031558" w:rsidRPr="00DE3771" w:rsidRDefault="00DE3771" w:rsidP="00D8498A">
      <w:pPr>
        <w:numPr>
          <w:ilvl w:val="1"/>
          <w:numId w:val="14"/>
        </w:numPr>
        <w:tabs>
          <w:tab w:val="clear" w:pos="0"/>
        </w:tabs>
        <w:jc w:val="both"/>
      </w:pPr>
      <w:r w:rsidRPr="00DE3771">
        <w:t>ubezpieczenie mienia od wszystkich ryzyk,</w:t>
      </w:r>
    </w:p>
    <w:p w:rsidR="00DE3771" w:rsidRPr="00DE3771" w:rsidRDefault="00DE3771" w:rsidP="00D8498A">
      <w:pPr>
        <w:numPr>
          <w:ilvl w:val="1"/>
          <w:numId w:val="14"/>
        </w:numPr>
        <w:tabs>
          <w:tab w:val="clear" w:pos="0"/>
        </w:tabs>
        <w:jc w:val="both"/>
      </w:pPr>
      <w:r w:rsidRPr="00DE3771">
        <w:t>ubezpieczenie odpowiedzialności cywilnej,</w:t>
      </w:r>
    </w:p>
    <w:p w:rsidR="00DE3771" w:rsidRPr="00DE3771" w:rsidRDefault="00DE3771" w:rsidP="007F0474">
      <w:pPr>
        <w:numPr>
          <w:ilvl w:val="0"/>
          <w:numId w:val="15"/>
        </w:numPr>
        <w:tabs>
          <w:tab w:val="clear" w:pos="360"/>
          <w:tab w:val="num" w:pos="1440"/>
        </w:tabs>
        <w:jc w:val="both"/>
      </w:pPr>
      <w:r w:rsidRPr="00DE3771">
        <w:t>Szczegółowy opis przedmiotu zamówienia stanowi Umowa Generalna Ubezpieczenia stanowiąca Załącznik nr 1 do niniejszej Umowy, zwana w dalszej części „</w:t>
      </w:r>
      <w:r w:rsidRPr="007F0474">
        <w:rPr>
          <w:b/>
        </w:rPr>
        <w:t>Umową Generalną Ubezpieczenia</w:t>
      </w:r>
      <w:r w:rsidRPr="00DE3771">
        <w:t xml:space="preserve">”. </w:t>
      </w:r>
    </w:p>
    <w:p w:rsidR="00DE3771" w:rsidRPr="007F0474" w:rsidRDefault="00DE3771" w:rsidP="007F0474">
      <w:pPr>
        <w:numPr>
          <w:ilvl w:val="0"/>
          <w:numId w:val="15"/>
        </w:numPr>
        <w:tabs>
          <w:tab w:val="clear" w:pos="360"/>
          <w:tab w:val="num" w:pos="1440"/>
        </w:tabs>
        <w:jc w:val="both"/>
      </w:pPr>
      <w:r w:rsidRPr="00DE3771">
        <w:t>W sprawach nieuregulowanych w niniejszej Umowie w zakresie usług objętych przedmiotem Umowy zastosowanie mają przepisy ustawy kodeks cywilny, ustawy Prawo zamówień publicznych, ustawy o działalności ubezpieczeniowej oraz postanowienia ogólnych warunków ubezpieczenia Wykonawcy, przy założeniu, że przepisy te wiążą Strony jedynie w zakresie nieuregulowanym i niesprzecznym z niniejszą Umową i pozostałymi jej załącznikami, a postanowienia zawarte w Umowie Generalnej Ubezpieczenia mają pierwszeństwo przed postanowieniami ogólnych warunków ubezpieczenia. Dla poszczególnych rodzajów ubezpieczenia Wykonawca wskaże jedne ogólne warunki ubezpieczenia.</w:t>
      </w:r>
    </w:p>
    <w:p w:rsidR="00DE3771" w:rsidRPr="00DE3771" w:rsidRDefault="00DE3771" w:rsidP="00D8498A">
      <w:pPr>
        <w:jc w:val="center"/>
        <w:rPr>
          <w:b/>
        </w:rPr>
      </w:pPr>
      <w:r w:rsidRPr="00DE3771">
        <w:rPr>
          <w:b/>
        </w:rPr>
        <w:t>§ 2</w:t>
      </w:r>
    </w:p>
    <w:p w:rsidR="00DE3771" w:rsidRPr="00DE3771" w:rsidRDefault="00DE3771" w:rsidP="00D8498A">
      <w:pPr>
        <w:jc w:val="center"/>
      </w:pPr>
      <w:r w:rsidRPr="00DE3771">
        <w:rPr>
          <w:b/>
        </w:rPr>
        <w:t>Pełnomocnik Zamawiającego</w:t>
      </w:r>
    </w:p>
    <w:p w:rsidR="00DE3771" w:rsidRPr="00DE3771" w:rsidRDefault="00DE3771" w:rsidP="00D8498A">
      <w:pPr>
        <w:numPr>
          <w:ilvl w:val="0"/>
          <w:numId w:val="15"/>
        </w:numPr>
        <w:tabs>
          <w:tab w:val="clear" w:pos="360"/>
        </w:tabs>
        <w:jc w:val="both"/>
        <w:rPr>
          <w:u w:val="single"/>
        </w:rPr>
      </w:pPr>
      <w:r w:rsidRPr="00DE3771">
        <w:t>Umowa będzie wykonywana za pośrednictwem i przy udziale Pełnomocnika Zamawiającego - Biura Brokerów Ubezpieczeniowych Maxima Fides Sp. z o.o., 90-613 Łódź, ul. Gdańska 91, NIP: 727-22-70-042, Regon: 471628890, Numer KRS 0000047653, nr zezwolenia PUNU 220/97, zwanego w dalszej części Umowy „</w:t>
      </w:r>
      <w:r w:rsidRPr="00DE3771">
        <w:rPr>
          <w:b/>
        </w:rPr>
        <w:t>Brokerem</w:t>
      </w:r>
      <w:r w:rsidRPr="00DE3771">
        <w:t>”.</w:t>
      </w:r>
    </w:p>
    <w:p w:rsidR="00DE3771" w:rsidRPr="00DE3771" w:rsidRDefault="00DE3771" w:rsidP="00D8498A">
      <w:pPr>
        <w:jc w:val="center"/>
        <w:rPr>
          <w:b/>
        </w:rPr>
      </w:pPr>
      <w:r w:rsidRPr="00DE3771">
        <w:rPr>
          <w:b/>
        </w:rPr>
        <w:t>§ 3</w:t>
      </w:r>
    </w:p>
    <w:p w:rsidR="00DE3771" w:rsidRPr="00DE3771" w:rsidRDefault="00DE3771" w:rsidP="00D8498A">
      <w:pPr>
        <w:jc w:val="center"/>
      </w:pPr>
      <w:r w:rsidRPr="00DE3771">
        <w:rPr>
          <w:b/>
        </w:rPr>
        <w:t>Okres realizacji umowy</w:t>
      </w:r>
    </w:p>
    <w:p w:rsidR="00DE3771" w:rsidRPr="00DE3771" w:rsidRDefault="00DE3771" w:rsidP="00D8498A">
      <w:pPr>
        <w:numPr>
          <w:ilvl w:val="0"/>
          <w:numId w:val="5"/>
        </w:numPr>
        <w:jc w:val="both"/>
        <w:rPr>
          <w:bCs/>
        </w:rPr>
      </w:pPr>
      <w:r w:rsidRPr="00DE3771">
        <w:t xml:space="preserve">Realizację Umowy ustala się na okres 36 miesięcy począwszy </w:t>
      </w:r>
      <w:r w:rsidRPr="00DE3771">
        <w:rPr>
          <w:b/>
          <w:iCs/>
        </w:rPr>
        <w:t>od dnia 01</w:t>
      </w:r>
      <w:r w:rsidRPr="00DE3771">
        <w:rPr>
          <w:b/>
        </w:rPr>
        <w:t>.01.2016 r. do dnia 31.12.2018 r.</w:t>
      </w:r>
      <w:r w:rsidRPr="00DE3771">
        <w:t xml:space="preserve"> </w:t>
      </w:r>
      <w:r w:rsidRPr="00DE3771">
        <w:rPr>
          <w:bCs/>
        </w:rPr>
        <w:t xml:space="preserve">Okres realizacji Umowy jest tożsamy z okresem ochrony ubezpieczeniowej wynikającym z Umowy Generalnej Ubezpieczenia, </w:t>
      </w:r>
      <w:r w:rsidRPr="00DE3771">
        <w:t>z zastrzeżeniem ust. 2.</w:t>
      </w:r>
    </w:p>
    <w:p w:rsidR="00DE3771" w:rsidRPr="00DE3771" w:rsidRDefault="00DE3771" w:rsidP="00D8498A">
      <w:pPr>
        <w:numPr>
          <w:ilvl w:val="0"/>
          <w:numId w:val="5"/>
        </w:numPr>
        <w:jc w:val="both"/>
        <w:rPr>
          <w:b/>
        </w:rPr>
      </w:pPr>
      <w:r w:rsidRPr="00DE3771">
        <w:rPr>
          <w:bCs/>
        </w:rPr>
        <w:t>Z</w:t>
      </w:r>
      <w:r w:rsidRPr="00DE3771">
        <w:t xml:space="preserve">amawiający zastrzega sobie w jednostkowych przypadkach możliwość zawarcia ubezpieczenia krótkoterminowego, o którym mowa w § 6. ust. 1 pkt. 1.2. Wykonawca udzieli wówczas ochrony ubezpieczeniowej zgodnie z terminami określonymi w złożonych wnioskach o ubezpieczenie. </w:t>
      </w:r>
    </w:p>
    <w:p w:rsidR="00DE3771" w:rsidRPr="00DE3771" w:rsidRDefault="00DE3771" w:rsidP="00D8498A">
      <w:pPr>
        <w:jc w:val="center"/>
        <w:rPr>
          <w:b/>
        </w:rPr>
      </w:pPr>
      <w:r w:rsidRPr="00DE3771">
        <w:rPr>
          <w:b/>
        </w:rPr>
        <w:t>§ 4</w:t>
      </w:r>
    </w:p>
    <w:p w:rsidR="00DE3771" w:rsidRPr="00DE3771" w:rsidRDefault="00DE3771" w:rsidP="00D8498A">
      <w:pPr>
        <w:jc w:val="center"/>
      </w:pPr>
      <w:r w:rsidRPr="00DE3771">
        <w:rPr>
          <w:b/>
        </w:rPr>
        <w:t>Realizacja umowy</w:t>
      </w:r>
    </w:p>
    <w:p w:rsidR="00DE3771" w:rsidRPr="00DE3771" w:rsidRDefault="00DE3771" w:rsidP="00D8498A">
      <w:pPr>
        <w:numPr>
          <w:ilvl w:val="0"/>
          <w:numId w:val="16"/>
        </w:numPr>
        <w:jc w:val="both"/>
      </w:pPr>
      <w:r w:rsidRPr="00DE3771">
        <w:t>Wykonawca wyznaczy:</w:t>
      </w:r>
    </w:p>
    <w:p w:rsidR="00DE3771" w:rsidRPr="00DE3771" w:rsidRDefault="00DE3771" w:rsidP="00D8498A">
      <w:pPr>
        <w:numPr>
          <w:ilvl w:val="1"/>
          <w:numId w:val="16"/>
        </w:numPr>
        <w:jc w:val="both"/>
      </w:pPr>
      <w:r w:rsidRPr="00DE3771">
        <w:t xml:space="preserve">jednostkę do technicznej obsługi ubezpieczeń, której zadaniem będzie </w:t>
      </w:r>
      <w:r w:rsidRPr="00DE3771">
        <w:br/>
        <w:t>w szczególności: przyjmowanie wniosków ubezpieczeniowych, wystawianie dokumentów potwierdzających ochronę ubezpieczeniową, sporządzanie sprawozdawczości w zakresie likwidacji szkód, a także:</w:t>
      </w:r>
    </w:p>
    <w:p w:rsidR="00DE3771" w:rsidRPr="00DE3771" w:rsidRDefault="00DE3771" w:rsidP="00D8498A">
      <w:pPr>
        <w:numPr>
          <w:ilvl w:val="2"/>
          <w:numId w:val="16"/>
        </w:numPr>
        <w:jc w:val="both"/>
      </w:pPr>
      <w:r w:rsidRPr="00DE3771">
        <w:lastRenderedPageBreak/>
        <w:t>osobę odpowiedzialną za nadzór nad realizacją Umowy;</w:t>
      </w:r>
    </w:p>
    <w:p w:rsidR="00DE3771" w:rsidRPr="00DE3771" w:rsidRDefault="00DE3771" w:rsidP="00D8498A">
      <w:pPr>
        <w:numPr>
          <w:ilvl w:val="2"/>
          <w:numId w:val="16"/>
        </w:numPr>
        <w:jc w:val="both"/>
      </w:pPr>
      <w:r w:rsidRPr="00DE3771">
        <w:t>osoby odpowiedzialne za realizację poszczególnych ubezpieczeń opisanych w Umowie Generalnej Ubezpieczenia;</w:t>
      </w:r>
    </w:p>
    <w:p w:rsidR="00DE3771" w:rsidRPr="00DE3771" w:rsidRDefault="00DE3771" w:rsidP="00D8498A">
      <w:pPr>
        <w:numPr>
          <w:ilvl w:val="2"/>
          <w:numId w:val="16"/>
        </w:numPr>
        <w:jc w:val="both"/>
      </w:pPr>
      <w:r w:rsidRPr="00DE3771">
        <w:t>osoby odpowiedzialne za techniczną obsługę ubezpieczeń;</w:t>
      </w:r>
    </w:p>
    <w:p w:rsidR="00DE3771" w:rsidRPr="00DE3771" w:rsidRDefault="00DE3771" w:rsidP="00D8498A">
      <w:pPr>
        <w:numPr>
          <w:ilvl w:val="1"/>
          <w:numId w:val="16"/>
        </w:numPr>
        <w:jc w:val="both"/>
      </w:pPr>
      <w:r w:rsidRPr="00DE3771">
        <w:t>jednostkę wyodrębnioną organizacyjnie do likwidacji szkód Zamawiającego.</w:t>
      </w:r>
    </w:p>
    <w:p w:rsidR="00DE3771" w:rsidRPr="00DE3771" w:rsidRDefault="00DE3771" w:rsidP="00D8498A">
      <w:pPr>
        <w:numPr>
          <w:ilvl w:val="0"/>
          <w:numId w:val="16"/>
        </w:numPr>
        <w:jc w:val="both"/>
      </w:pPr>
      <w:r w:rsidRPr="00DE3771">
        <w:t>W przypadku braku jednostki/</w:t>
      </w:r>
      <w:proofErr w:type="spellStart"/>
      <w:r w:rsidRPr="00DE3771">
        <w:t>ek</w:t>
      </w:r>
      <w:proofErr w:type="spellEnd"/>
      <w:r w:rsidRPr="00DE3771">
        <w:t xml:space="preserve"> wskazanych w ust. 1 Wykonawca zobowiązuje się w ciągu 14 dni od dnia podpisania niniejszej Umowy utworzyć taką/</w:t>
      </w:r>
      <w:proofErr w:type="spellStart"/>
      <w:r w:rsidRPr="00DE3771">
        <w:t>ie</w:t>
      </w:r>
      <w:proofErr w:type="spellEnd"/>
      <w:r w:rsidRPr="00DE3771">
        <w:t xml:space="preserve"> jednostkę/i </w:t>
      </w:r>
      <w:proofErr w:type="spellStart"/>
      <w:r w:rsidRPr="00DE3771">
        <w:t>i</w:t>
      </w:r>
      <w:proofErr w:type="spellEnd"/>
      <w:r w:rsidRPr="00DE3771">
        <w:t xml:space="preserve"> podać Zamawiającemu jej dane teleadresowe. </w:t>
      </w:r>
    </w:p>
    <w:p w:rsidR="00DE3771" w:rsidRPr="00DE3771" w:rsidRDefault="00DE3771" w:rsidP="00D8498A">
      <w:pPr>
        <w:numPr>
          <w:ilvl w:val="0"/>
          <w:numId w:val="16"/>
        </w:numPr>
        <w:jc w:val="both"/>
      </w:pPr>
      <w:r w:rsidRPr="00DE3771">
        <w:t>Zmiana danych teleadresowych jednostki oraz osób, o których mowa w ust. 1. następuje poprzez pisemne zawiadomienie Zamawiającego i Brokera, przekazane w terminie nie krótszym niż 7 dni przed dokonaniem zmiany. Zmiany danych teleadresowych jednostki i osób nie stanowią zmiany treści umowy, oprócz zmiany osoby odpowiedzialnej za nadzór nad realizacją Umowy, o której mowa w ust. 1 pkt. 1.1. pkt. 1.1.1. Umowy.</w:t>
      </w:r>
    </w:p>
    <w:p w:rsidR="00DE3771" w:rsidRPr="00DE3771" w:rsidRDefault="00DE3771" w:rsidP="00D8498A">
      <w:pPr>
        <w:numPr>
          <w:ilvl w:val="0"/>
          <w:numId w:val="16"/>
        </w:numPr>
        <w:jc w:val="both"/>
      </w:pPr>
      <w:r w:rsidRPr="00DE3771">
        <w:t>Zamawiający i Wykonawca z udziałem Brokera w terminie 30 dni od daty podpisania Umowy ustalą procedurę obsługi ubezpieczeń w zakresie szczegółowych zapisów Procedury Realizacji Umowy Generalnej Ubezpieczenia, która będzie stanowiła Załącznik nr 2 do Umowy. Strony ustalą m.in. postępowanie w przypadku wystąpienia szkody, druki zgłaszania szkód oraz inne druki, zawiadomienia, formularze.</w:t>
      </w:r>
    </w:p>
    <w:p w:rsidR="00DE3771" w:rsidRPr="00DE3771" w:rsidRDefault="00DE3771" w:rsidP="00D8498A">
      <w:pPr>
        <w:numPr>
          <w:ilvl w:val="1"/>
          <w:numId w:val="16"/>
        </w:numPr>
        <w:jc w:val="both"/>
      </w:pPr>
      <w:r w:rsidRPr="00DE3771">
        <w:t>Zamawiający i Wykonawca będą zobowiązani do przestrzegania procedury obsługi ubezpieczeń przez cały okres wykonywania Umowy.</w:t>
      </w:r>
    </w:p>
    <w:p w:rsidR="00DE3771" w:rsidRPr="00DE3771" w:rsidRDefault="00DE3771" w:rsidP="00D8498A">
      <w:pPr>
        <w:numPr>
          <w:ilvl w:val="1"/>
          <w:numId w:val="16"/>
        </w:numPr>
        <w:jc w:val="both"/>
      </w:pPr>
      <w:r w:rsidRPr="00DE3771">
        <w:t>Zamawiający zastrzega, że procedura obsługi ubezpieczeń w zakresie likwidacji szkód będzie zawierała ustalenia zgodne z zasadami określonymi w Umowie.</w:t>
      </w:r>
    </w:p>
    <w:p w:rsidR="00DE3771" w:rsidRPr="00DE3771" w:rsidRDefault="00DE3771" w:rsidP="00D8498A">
      <w:pPr>
        <w:numPr>
          <w:ilvl w:val="1"/>
          <w:numId w:val="16"/>
        </w:numPr>
        <w:jc w:val="both"/>
      </w:pPr>
      <w:r w:rsidRPr="00DE3771">
        <w:t>Zmiana procedury w zakresie obsługi ubezpieczeń wymaga zgody Zamawiającego i Wykonawcy i może zostać dokonana wyłącznie w formie pisemnej. Zmiany Procedury Realizacji Umowy Generalnej Ubezpieczenia nie stanowią zmiany Umowy.</w:t>
      </w:r>
    </w:p>
    <w:p w:rsidR="00DE3771" w:rsidRPr="00DE3771" w:rsidRDefault="00DE3771" w:rsidP="00D8498A">
      <w:pPr>
        <w:numPr>
          <w:ilvl w:val="0"/>
          <w:numId w:val="16"/>
        </w:numPr>
        <w:jc w:val="both"/>
      </w:pPr>
      <w:r w:rsidRPr="00DE3771">
        <w:t>Odszkodowania należne Zamawiającemu będą wypłacane przelewem na rachunki bankowe wskazane przez Zamawiającego.</w:t>
      </w:r>
    </w:p>
    <w:p w:rsidR="00DE3771" w:rsidRPr="00DE3771" w:rsidRDefault="00DE3771" w:rsidP="00D8498A">
      <w:pPr>
        <w:numPr>
          <w:ilvl w:val="0"/>
          <w:numId w:val="16"/>
        </w:numPr>
        <w:jc w:val="both"/>
      </w:pPr>
      <w:r w:rsidRPr="00DE3771">
        <w:t>Odszkodowania z ubezpieczenia mienia Zamawiającego (opisane w § 1. ust.1 pkt. 1.1.) będą wypłacane w kwocie uwzględniającej podatek VAT, który nie podlega odliczeniu. Podstawą do wypłaty odszkodowania będzie jeden z następujących dokumentów: oryginał faktury, kserokopia faktury poświadczona za zgodność z oryginałem, refaktura, kosztorys naprawy Zamawiającego, kosztorys naprawy uzgodniony pomiędzy Wykonawcą a podmiotem dokonującym naprawy lub na wniosek Zamawiającego kosztorys Wykonawcy.</w:t>
      </w:r>
    </w:p>
    <w:p w:rsidR="00DE3771" w:rsidRPr="00DE3771" w:rsidRDefault="00DE3771" w:rsidP="00D8498A">
      <w:pPr>
        <w:numPr>
          <w:ilvl w:val="0"/>
          <w:numId w:val="16"/>
        </w:numPr>
        <w:jc w:val="both"/>
      </w:pPr>
      <w:r w:rsidRPr="00DE3771">
        <w:t>Wykonawca nie będzie pomniejszał kwoty wypłacanego odszkodowania o wartość składki należnej z tytułu opłaty kolejnych rat.</w:t>
      </w:r>
    </w:p>
    <w:p w:rsidR="00DE3771" w:rsidRPr="00DE3771" w:rsidRDefault="00DE3771" w:rsidP="00D8498A">
      <w:pPr>
        <w:numPr>
          <w:ilvl w:val="0"/>
          <w:numId w:val="16"/>
        </w:numPr>
        <w:jc w:val="both"/>
        <w:rPr>
          <w:b/>
        </w:rPr>
      </w:pPr>
      <w:r w:rsidRPr="00DE3771">
        <w:t>Osoby podpisujące dokumenty i składające oświadczenia woli ze strony Wykonawcy i Zamawiającego w ramach wykonywania Umowy muszą posiadać stosowne uprawnienia do dokonania tych czynności.</w:t>
      </w:r>
    </w:p>
    <w:p w:rsidR="00DE3771" w:rsidRDefault="00DE3771" w:rsidP="007F3F97">
      <w:pPr>
        <w:jc w:val="center"/>
        <w:rPr>
          <w:b/>
        </w:rPr>
      </w:pPr>
    </w:p>
    <w:p w:rsidR="007F0474" w:rsidRPr="00DE3771" w:rsidRDefault="007F0474" w:rsidP="007F3F97">
      <w:pPr>
        <w:jc w:val="center"/>
        <w:rPr>
          <w:b/>
        </w:rPr>
      </w:pPr>
    </w:p>
    <w:p w:rsidR="00DE3771" w:rsidRPr="00DE3771" w:rsidRDefault="00DE3771" w:rsidP="007F3F97">
      <w:pPr>
        <w:jc w:val="center"/>
        <w:rPr>
          <w:b/>
        </w:rPr>
      </w:pPr>
      <w:r w:rsidRPr="00DE3771">
        <w:rPr>
          <w:b/>
        </w:rPr>
        <w:lastRenderedPageBreak/>
        <w:t>§ 5</w:t>
      </w:r>
    </w:p>
    <w:p w:rsidR="00DE3771" w:rsidRPr="00DE3771" w:rsidRDefault="00DE3771" w:rsidP="007F3F97">
      <w:pPr>
        <w:jc w:val="center"/>
      </w:pPr>
      <w:r w:rsidRPr="00DE3771">
        <w:rPr>
          <w:b/>
        </w:rPr>
        <w:t>Wynagrodzenie Wykonawcy i wysokość składki ubezpieczeniowej</w:t>
      </w:r>
    </w:p>
    <w:p w:rsidR="00DE3771" w:rsidRPr="00DE3771" w:rsidRDefault="00DE3771" w:rsidP="00D8498A">
      <w:pPr>
        <w:numPr>
          <w:ilvl w:val="0"/>
          <w:numId w:val="22"/>
        </w:numPr>
        <w:tabs>
          <w:tab w:val="clear" w:pos="360"/>
          <w:tab w:val="num" w:pos="567"/>
        </w:tabs>
        <w:jc w:val="both"/>
      </w:pPr>
      <w:r w:rsidRPr="00DE3771">
        <w:t>Łączne wynagrodzenie Wykonawcy nie przekroczy kwoty …………………………</w:t>
      </w:r>
      <w:r w:rsidRPr="00DE3771">
        <w:rPr>
          <w:b/>
        </w:rPr>
        <w:t xml:space="preserve"> zł (</w:t>
      </w:r>
      <w:r w:rsidRPr="00DE3771">
        <w:rPr>
          <w:b/>
          <w:i/>
        </w:rPr>
        <w:t>słownie: zł</w:t>
      </w:r>
      <w:r w:rsidRPr="00DE3771">
        <w:rPr>
          <w:b/>
        </w:rPr>
        <w:t>)</w:t>
      </w:r>
      <w:r w:rsidRPr="00DE3771">
        <w:t xml:space="preserve"> i rozliczane będzie według płatności za realizację Umowy w każdym z rocznych okresów ubezpieczenia na podstawie:</w:t>
      </w:r>
    </w:p>
    <w:p w:rsidR="00DE3771" w:rsidRPr="00DE3771" w:rsidRDefault="00DE3771" w:rsidP="00D8498A">
      <w:pPr>
        <w:numPr>
          <w:ilvl w:val="1"/>
          <w:numId w:val="22"/>
        </w:numPr>
        <w:jc w:val="both"/>
      </w:pPr>
      <w:r w:rsidRPr="00DE3771">
        <w:t>wartości na dany rok ubezpieczenia w odniesieniu do:</w:t>
      </w:r>
    </w:p>
    <w:p w:rsidR="00DE3771" w:rsidRPr="00DE3771" w:rsidRDefault="00DE3771" w:rsidP="00D8498A">
      <w:pPr>
        <w:numPr>
          <w:ilvl w:val="2"/>
          <w:numId w:val="22"/>
        </w:numPr>
        <w:jc w:val="both"/>
      </w:pPr>
      <w:r w:rsidRPr="00DE3771">
        <w:t xml:space="preserve">sum ubezpieczenia w ubezpieczeniu mienia od wszystkich ryzyk zadeklarowanych w składanych wnioskach, </w:t>
      </w:r>
    </w:p>
    <w:p w:rsidR="00DE3771" w:rsidRPr="00DE3771" w:rsidRDefault="00DE3771" w:rsidP="00D8498A">
      <w:pPr>
        <w:numPr>
          <w:ilvl w:val="2"/>
          <w:numId w:val="22"/>
        </w:numPr>
        <w:jc w:val="both"/>
      </w:pPr>
      <w:r w:rsidRPr="00DE3771">
        <w:t xml:space="preserve">podanej w ofercie składki rocznej z tytułu ubezpieczenia odpowiedzialności cywilnej, </w:t>
      </w:r>
    </w:p>
    <w:p w:rsidR="00DE3771" w:rsidRPr="00DE3771" w:rsidRDefault="00DE3771" w:rsidP="00D8498A">
      <w:pPr>
        <w:numPr>
          <w:ilvl w:val="2"/>
          <w:numId w:val="22"/>
        </w:numPr>
        <w:jc w:val="both"/>
      </w:pPr>
      <w:r w:rsidRPr="00DE3771">
        <w:t>składki za doubezpieczenia i ubezpieczenia krótkoterminowe oraz składki za udzielenie automatycznej ochrony ubezpieczeniowej;</w:t>
      </w:r>
    </w:p>
    <w:p w:rsidR="00DE3771" w:rsidRPr="00DE3771" w:rsidRDefault="00DE3771" w:rsidP="00D8498A">
      <w:pPr>
        <w:numPr>
          <w:ilvl w:val="1"/>
          <w:numId w:val="22"/>
        </w:numPr>
        <w:jc w:val="both"/>
      </w:pPr>
      <w:r w:rsidRPr="00DE3771">
        <w:t>stawek (stóp składek) i cen jednostkowych (składek ryczałtowych)</w:t>
      </w:r>
    </w:p>
    <w:p w:rsidR="00DE3771" w:rsidRDefault="007F0474" w:rsidP="00D8498A">
      <w:pPr>
        <w:numPr>
          <w:ilvl w:val="2"/>
          <w:numId w:val="22"/>
        </w:numPr>
        <w:jc w:val="both"/>
      </w:pPr>
      <w:r>
        <w:t xml:space="preserve"> </w:t>
      </w:r>
      <w:r w:rsidR="00DE3771" w:rsidRPr="00DE3771">
        <w:t>w ubezpieczeniu mienia od wszystkich ryzyk:</w:t>
      </w:r>
    </w:p>
    <w:tbl>
      <w:tblPr>
        <w:tblW w:w="7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5177"/>
        <w:gridCol w:w="1479"/>
      </w:tblGrid>
      <w:tr w:rsidR="007F0474" w:rsidRPr="007F0474" w:rsidTr="007F0474">
        <w:trPr>
          <w:trHeight w:val="45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przedmiot ubezpieczenia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left="-32" w:right="-32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stopa składki</w:t>
            </w:r>
          </w:p>
          <w:p w:rsidR="007F0474" w:rsidRPr="007F0474" w:rsidRDefault="007F0474" w:rsidP="007F0474">
            <w:pPr>
              <w:spacing w:after="0" w:line="240" w:lineRule="auto"/>
              <w:ind w:left="-32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(w %)</w:t>
            </w:r>
          </w:p>
        </w:tc>
      </w:tr>
      <w:tr w:rsidR="007F0474" w:rsidRPr="007F0474" w:rsidTr="007F0474">
        <w:trPr>
          <w:cantSplit/>
          <w:trHeight w:val="3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Budynki, budowle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74" w:rsidRPr="007F0474" w:rsidRDefault="007F0474" w:rsidP="007F0474">
            <w:pPr>
              <w:spacing w:after="0" w:line="240" w:lineRule="auto"/>
              <w:ind w:left="-32"/>
              <w:jc w:val="both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cantSplit/>
          <w:trHeight w:val="44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spacing w:after="0" w:line="240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pozostałe środki trwałe, wyposażenie, przedmioty podlegające jednorazowej amortyzacji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74" w:rsidRPr="007F0474" w:rsidRDefault="007F0474" w:rsidP="007F0474">
            <w:pPr>
              <w:spacing w:after="0" w:line="240" w:lineRule="auto"/>
              <w:ind w:left="-32"/>
              <w:jc w:val="both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cantSplit/>
          <w:trHeight w:val="36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0474" w:rsidRPr="007F0474" w:rsidRDefault="007F0474" w:rsidP="007F0474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-3" w:right="-8" w:firstLine="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sprzęt elektroniczny stacjonarny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74" w:rsidRPr="007F0474" w:rsidRDefault="007F0474" w:rsidP="007F0474">
            <w:pPr>
              <w:spacing w:after="0" w:line="240" w:lineRule="auto"/>
              <w:ind w:left="-32"/>
              <w:jc w:val="both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cantSplit/>
          <w:trHeight w:val="2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0474" w:rsidRPr="007F0474" w:rsidRDefault="007F0474" w:rsidP="007F0474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-3" w:right="-8" w:firstLine="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sprzęt elektroniczny przenośny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74" w:rsidRPr="007F0474" w:rsidRDefault="007F0474" w:rsidP="007F0474">
            <w:pPr>
              <w:spacing w:after="0" w:line="240" w:lineRule="auto"/>
              <w:ind w:left="-32"/>
              <w:jc w:val="both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cantSplit/>
          <w:trHeight w:val="44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0474" w:rsidRPr="007F0474" w:rsidRDefault="007F0474" w:rsidP="007F0474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-3" w:right="-8" w:firstLine="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elektroniczne części maszyn, urządzeń i aparatów stanowiące integralną część tych maszyn, urządzeń i aparatów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74" w:rsidRPr="007F0474" w:rsidRDefault="007F0474" w:rsidP="007F0474">
            <w:pPr>
              <w:spacing w:after="0" w:line="240" w:lineRule="auto"/>
              <w:ind w:left="482"/>
              <w:jc w:val="both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cantSplit/>
          <w:trHeight w:val="2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0474" w:rsidRPr="007F0474" w:rsidRDefault="007F0474" w:rsidP="007F0474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-3" w:right="-8" w:firstLine="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koszty związane z </w:t>
            </w:r>
            <w:proofErr w:type="spellStart"/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reinstalacją</w:t>
            </w:r>
            <w:proofErr w:type="spellEnd"/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 rekonfiguracją sieci komputerowej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74" w:rsidRPr="007F0474" w:rsidRDefault="007F0474" w:rsidP="007F0474">
            <w:pPr>
              <w:spacing w:after="0" w:line="240" w:lineRule="auto"/>
              <w:ind w:left="482"/>
              <w:jc w:val="both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cantSplit/>
          <w:trHeight w:val="33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0474" w:rsidRPr="007F0474" w:rsidRDefault="007F0474" w:rsidP="007F0474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-3" w:right="-8" w:firstLine="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oprogramowanie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74" w:rsidRPr="007F0474" w:rsidRDefault="007F0474" w:rsidP="007F0474">
            <w:pPr>
              <w:spacing w:after="0" w:line="240" w:lineRule="auto"/>
              <w:ind w:left="482"/>
              <w:jc w:val="both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cantSplit/>
          <w:trHeight w:val="28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środki obrotowe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74" w:rsidRPr="007F0474" w:rsidRDefault="007F0474" w:rsidP="007F0474">
            <w:pPr>
              <w:spacing w:after="0" w:line="240" w:lineRule="auto"/>
              <w:ind w:left="482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7F0474" w:rsidRPr="007F0474" w:rsidTr="007F0474">
        <w:trPr>
          <w:cantSplit/>
          <w:trHeight w:val="27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nakłady na adaptację pomieszczeń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74" w:rsidRPr="007F0474" w:rsidRDefault="007F0474" w:rsidP="007F0474">
            <w:pPr>
              <w:spacing w:after="0" w:line="240" w:lineRule="auto"/>
              <w:ind w:left="482"/>
              <w:jc w:val="both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cantSplit/>
          <w:trHeight w:val="27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gotówka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74" w:rsidRPr="007F0474" w:rsidRDefault="007F0474" w:rsidP="007F0474">
            <w:pPr>
              <w:spacing w:after="0" w:line="240" w:lineRule="auto"/>
              <w:ind w:left="482"/>
              <w:jc w:val="both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cantSplit/>
          <w:trHeight w:val="28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mienie pracownicze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74" w:rsidRPr="007F0474" w:rsidRDefault="007F0474" w:rsidP="007F0474">
            <w:pPr>
              <w:spacing w:after="0" w:line="240" w:lineRule="auto"/>
              <w:ind w:left="482"/>
              <w:jc w:val="both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</w:tbl>
    <w:p w:rsidR="007F0474" w:rsidRDefault="007F0474" w:rsidP="007F0474">
      <w:pPr>
        <w:ind w:left="1224"/>
        <w:jc w:val="both"/>
      </w:pPr>
    </w:p>
    <w:p w:rsidR="007F0474" w:rsidRPr="00DE3771" w:rsidRDefault="007F0474" w:rsidP="00D8498A">
      <w:pPr>
        <w:numPr>
          <w:ilvl w:val="2"/>
          <w:numId w:val="22"/>
        </w:numPr>
        <w:jc w:val="both"/>
      </w:pPr>
      <w:r>
        <w:t xml:space="preserve"> W ubezpieczenie kosztów dodatkowych:</w:t>
      </w:r>
    </w:p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6767"/>
        <w:gridCol w:w="1765"/>
        <w:gridCol w:w="1309"/>
      </w:tblGrid>
      <w:tr w:rsidR="007F0474" w:rsidRPr="007F0474" w:rsidTr="007F0474">
        <w:trPr>
          <w:trHeight w:val="472"/>
          <w:jc w:val="center"/>
        </w:trPr>
        <w:tc>
          <w:tcPr>
            <w:tcW w:w="741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767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left="-126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postanowienia dotyczące kosztów dodatkowych </w:t>
            </w: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ponad sumę ubezpieczenia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-32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suma ubezpieczenia </w:t>
            </w: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(w zł)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left="-63" w:right="-32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stopa składki</w:t>
            </w:r>
          </w:p>
          <w:p w:rsidR="007F0474" w:rsidRPr="007F0474" w:rsidRDefault="007F0474" w:rsidP="007F0474">
            <w:pPr>
              <w:widowControl w:val="0"/>
              <w:spacing w:after="0" w:line="240" w:lineRule="auto"/>
              <w:ind w:left="-63" w:right="-32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(w %)</w:t>
            </w:r>
          </w:p>
        </w:tc>
      </w:tr>
      <w:tr w:rsidR="007F0474" w:rsidRPr="007F0474" w:rsidTr="007F0474">
        <w:trPr>
          <w:trHeight w:val="420"/>
          <w:jc w:val="center"/>
        </w:trPr>
        <w:tc>
          <w:tcPr>
            <w:tcW w:w="741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numPr>
                <w:ilvl w:val="0"/>
                <w:numId w:val="26"/>
              </w:numPr>
              <w:tabs>
                <w:tab w:val="num" w:pos="454"/>
              </w:tabs>
              <w:spacing w:after="0" w:line="240" w:lineRule="auto"/>
              <w:ind w:left="412" w:right="-35" w:hanging="412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7" w:type="dxa"/>
            <w:shd w:val="clear" w:color="auto" w:fill="DDD9C3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Postanowienia dotyczące pokrycia kosztów uprzątnięcia pozostałości po szkodzie oraz kosztów zabezpieczenia mienia przed szkodą i kosztów ratownictwa </w:t>
            </w:r>
          </w:p>
        </w:tc>
        <w:tc>
          <w:tcPr>
            <w:tcW w:w="1765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200 000,00 </w:t>
            </w:r>
          </w:p>
        </w:tc>
        <w:tc>
          <w:tcPr>
            <w:tcW w:w="1309" w:type="dxa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left="482" w:right="72"/>
              <w:jc w:val="right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trHeight w:val="258"/>
          <w:jc w:val="center"/>
        </w:trPr>
        <w:tc>
          <w:tcPr>
            <w:tcW w:w="741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numPr>
                <w:ilvl w:val="0"/>
                <w:numId w:val="26"/>
              </w:numPr>
              <w:tabs>
                <w:tab w:val="num" w:pos="454"/>
              </w:tabs>
              <w:spacing w:after="0" w:line="240" w:lineRule="auto"/>
              <w:ind w:left="412" w:right="-35" w:hanging="412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7" w:type="dxa"/>
            <w:shd w:val="clear" w:color="auto" w:fill="DDD9C3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Postanowienia dotyczące pokrycia kosztów rzeczoznawców</w:t>
            </w:r>
          </w:p>
        </w:tc>
        <w:tc>
          <w:tcPr>
            <w:tcW w:w="1765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25 000,00</w:t>
            </w:r>
          </w:p>
        </w:tc>
        <w:tc>
          <w:tcPr>
            <w:tcW w:w="1309" w:type="dxa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left="482" w:right="72"/>
              <w:jc w:val="right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trHeight w:val="276"/>
          <w:jc w:val="center"/>
        </w:trPr>
        <w:tc>
          <w:tcPr>
            <w:tcW w:w="741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numPr>
                <w:ilvl w:val="0"/>
                <w:numId w:val="26"/>
              </w:numPr>
              <w:tabs>
                <w:tab w:val="num" w:pos="454"/>
              </w:tabs>
              <w:spacing w:after="0" w:line="240" w:lineRule="auto"/>
              <w:ind w:left="412" w:right="-35" w:hanging="412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7" w:type="dxa"/>
            <w:shd w:val="clear" w:color="auto" w:fill="DDD9C3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Postanowienia dotyczące pokrycia kosztów identyfikacji miejsc awarii </w:t>
            </w:r>
          </w:p>
        </w:tc>
        <w:tc>
          <w:tcPr>
            <w:tcW w:w="1765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309" w:type="dxa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left="482" w:right="72"/>
              <w:jc w:val="right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trHeight w:val="266"/>
          <w:jc w:val="center"/>
        </w:trPr>
        <w:tc>
          <w:tcPr>
            <w:tcW w:w="741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numPr>
                <w:ilvl w:val="0"/>
                <w:numId w:val="26"/>
              </w:numPr>
              <w:tabs>
                <w:tab w:val="num" w:pos="454"/>
              </w:tabs>
              <w:spacing w:after="0" w:line="240" w:lineRule="auto"/>
              <w:ind w:left="412" w:right="-35" w:hanging="412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7" w:type="dxa"/>
            <w:shd w:val="clear" w:color="auto" w:fill="DDD9C3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Postanowienia dotyczące pokrycia kosztów restytucji dokumentów </w:t>
            </w:r>
          </w:p>
        </w:tc>
        <w:tc>
          <w:tcPr>
            <w:tcW w:w="1765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309" w:type="dxa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left="482" w:right="72"/>
              <w:jc w:val="right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trHeight w:val="270"/>
          <w:jc w:val="center"/>
        </w:trPr>
        <w:tc>
          <w:tcPr>
            <w:tcW w:w="741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numPr>
                <w:ilvl w:val="0"/>
                <w:numId w:val="26"/>
              </w:numPr>
              <w:tabs>
                <w:tab w:val="num" w:pos="454"/>
              </w:tabs>
              <w:spacing w:after="0" w:line="240" w:lineRule="auto"/>
              <w:ind w:left="412" w:right="-35" w:hanging="412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7" w:type="dxa"/>
            <w:shd w:val="clear" w:color="auto" w:fill="DDD9C3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Postanowienia dotyczące pokrycia kosztów odtworzenia danych i oprogramowania </w:t>
            </w:r>
          </w:p>
        </w:tc>
        <w:tc>
          <w:tcPr>
            <w:tcW w:w="1765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309" w:type="dxa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left="482" w:right="72"/>
              <w:jc w:val="right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trHeight w:val="248"/>
          <w:jc w:val="center"/>
        </w:trPr>
        <w:tc>
          <w:tcPr>
            <w:tcW w:w="741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numPr>
                <w:ilvl w:val="0"/>
                <w:numId w:val="26"/>
              </w:numPr>
              <w:tabs>
                <w:tab w:val="num" w:pos="454"/>
              </w:tabs>
              <w:spacing w:after="0" w:line="240" w:lineRule="auto"/>
              <w:ind w:left="412" w:right="-35" w:hanging="412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7" w:type="dxa"/>
            <w:shd w:val="clear" w:color="auto" w:fill="DDD9C3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Postanowienia dotyczące zalania na skutek nieszczelności </w:t>
            </w:r>
          </w:p>
        </w:tc>
        <w:tc>
          <w:tcPr>
            <w:tcW w:w="1765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309" w:type="dxa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left="482" w:right="72"/>
              <w:jc w:val="right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trHeight w:val="447"/>
          <w:jc w:val="center"/>
        </w:trPr>
        <w:tc>
          <w:tcPr>
            <w:tcW w:w="741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numPr>
                <w:ilvl w:val="0"/>
                <w:numId w:val="26"/>
              </w:numPr>
              <w:tabs>
                <w:tab w:val="num" w:pos="454"/>
              </w:tabs>
              <w:spacing w:after="0" w:line="240" w:lineRule="auto"/>
              <w:ind w:left="412" w:right="-35" w:hanging="412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7" w:type="dxa"/>
            <w:shd w:val="clear" w:color="auto" w:fill="DDD9C3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Postanowienia dotyczące pokrycia kosztów poniesionych w celu przywrócenia uszkodzonego przedmiotu do stanu sprzed szkody </w:t>
            </w:r>
          </w:p>
        </w:tc>
        <w:tc>
          <w:tcPr>
            <w:tcW w:w="1765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309" w:type="dxa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left="482" w:right="72"/>
              <w:jc w:val="right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trHeight w:val="264"/>
          <w:jc w:val="center"/>
        </w:trPr>
        <w:tc>
          <w:tcPr>
            <w:tcW w:w="741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numPr>
                <w:ilvl w:val="0"/>
                <w:numId w:val="26"/>
              </w:numPr>
              <w:tabs>
                <w:tab w:val="num" w:pos="454"/>
              </w:tabs>
              <w:spacing w:after="0" w:line="240" w:lineRule="auto"/>
              <w:ind w:left="412" w:right="-35" w:hanging="412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7" w:type="dxa"/>
            <w:shd w:val="clear" w:color="auto" w:fill="DDD9C3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Postanowienia dotyczące zwiększonych kosztów działalności </w:t>
            </w:r>
          </w:p>
        </w:tc>
        <w:tc>
          <w:tcPr>
            <w:tcW w:w="1765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309" w:type="dxa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left="482" w:right="72"/>
              <w:jc w:val="right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7F0474" w:rsidRPr="007F0474" w:rsidTr="007F0474">
        <w:trPr>
          <w:trHeight w:val="429"/>
          <w:jc w:val="center"/>
        </w:trPr>
        <w:tc>
          <w:tcPr>
            <w:tcW w:w="741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numPr>
                <w:ilvl w:val="0"/>
                <w:numId w:val="26"/>
              </w:numPr>
              <w:tabs>
                <w:tab w:val="num" w:pos="454"/>
              </w:tabs>
              <w:spacing w:after="0" w:line="240" w:lineRule="auto"/>
              <w:ind w:left="412" w:right="-35" w:hanging="412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7" w:type="dxa"/>
            <w:shd w:val="clear" w:color="auto" w:fill="DDD9C3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Postanowienia dotyczące dodatkowych kosztów działalności związanych z koniecznością dostarczenia wody pitnej </w:t>
            </w:r>
          </w:p>
        </w:tc>
        <w:tc>
          <w:tcPr>
            <w:tcW w:w="1765" w:type="dxa"/>
            <w:shd w:val="clear" w:color="auto" w:fill="DDD9C3"/>
            <w:vAlign w:val="center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right="72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30 000,00</w:t>
            </w:r>
          </w:p>
        </w:tc>
        <w:tc>
          <w:tcPr>
            <w:tcW w:w="1309" w:type="dxa"/>
          </w:tcPr>
          <w:p w:rsidR="007F0474" w:rsidRPr="007F0474" w:rsidRDefault="007F0474" w:rsidP="007F0474">
            <w:pPr>
              <w:widowControl w:val="0"/>
              <w:spacing w:after="0" w:line="240" w:lineRule="auto"/>
              <w:ind w:left="482" w:right="72"/>
              <w:jc w:val="right"/>
              <w:rPr>
                <w:rFonts w:eastAsia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</w:tbl>
    <w:p w:rsidR="00DE3771" w:rsidRPr="00DE3771" w:rsidRDefault="00DE3771" w:rsidP="00D8498A">
      <w:pPr>
        <w:jc w:val="both"/>
      </w:pPr>
    </w:p>
    <w:p w:rsidR="00DE3771" w:rsidRPr="00DE3771" w:rsidRDefault="00DE3771" w:rsidP="00D8498A">
      <w:pPr>
        <w:numPr>
          <w:ilvl w:val="0"/>
          <w:numId w:val="23"/>
        </w:numPr>
        <w:tabs>
          <w:tab w:val="num" w:pos="1134"/>
        </w:tabs>
        <w:jc w:val="both"/>
      </w:pPr>
      <w:r w:rsidRPr="00DE3771">
        <w:t>w ubezpieczeniu odpowiedzialności cywilnej: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4770"/>
        <w:gridCol w:w="2168"/>
        <w:gridCol w:w="1735"/>
      </w:tblGrid>
      <w:tr w:rsidR="007F0474" w:rsidRPr="007F0474" w:rsidTr="007F0474">
        <w:trPr>
          <w:trHeight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spacing w:after="0" w:line="240" w:lineRule="auto"/>
              <w:ind w:left="-209" w:right="-250" w:firstLine="209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Przedmiot ubezpieczenia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spacing w:after="0" w:line="240" w:lineRule="auto"/>
              <w:ind w:left="110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Suma gwarancyjna</w:t>
            </w:r>
          </w:p>
          <w:p w:rsidR="007F0474" w:rsidRPr="007F0474" w:rsidRDefault="007F0474" w:rsidP="007F0474">
            <w:pPr>
              <w:spacing w:after="0" w:line="240" w:lineRule="auto"/>
              <w:ind w:left="110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Składka roczna </w:t>
            </w:r>
          </w:p>
          <w:p w:rsidR="007F0474" w:rsidRPr="007F0474" w:rsidRDefault="007F0474" w:rsidP="007F04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(w zł)</w:t>
            </w:r>
          </w:p>
        </w:tc>
      </w:tr>
      <w:tr w:rsidR="007F0474" w:rsidRPr="007F0474" w:rsidTr="007F0474">
        <w:trPr>
          <w:cantSplit/>
          <w:trHeight w:val="3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tabs>
                <w:tab w:val="num" w:pos="360"/>
              </w:tabs>
              <w:spacing w:after="0" w:line="240" w:lineRule="auto"/>
              <w:ind w:left="-70"/>
              <w:jc w:val="right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bottom"/>
          </w:tcPr>
          <w:p w:rsidR="007F0474" w:rsidRPr="007F0474" w:rsidRDefault="007F0474" w:rsidP="007F0474">
            <w:pPr>
              <w:spacing w:after="0" w:line="240" w:lineRule="auto"/>
              <w:ind w:left="5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F047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Ubezpieczenie odpowiedzialności cywilnej wynikają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cej z prowadzonej działalności </w:t>
            </w:r>
            <w:r w:rsidRPr="007F047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 posiadanego mienia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0474" w:rsidRPr="007F0474" w:rsidRDefault="007F0474" w:rsidP="007F0474">
            <w:pPr>
              <w:spacing w:after="0" w:line="240" w:lineRule="auto"/>
              <w:ind w:left="5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74" w:rsidRPr="007F0474" w:rsidRDefault="007F0474" w:rsidP="007F0474">
            <w:pPr>
              <w:spacing w:after="0" w:line="240" w:lineRule="auto"/>
              <w:ind w:left="-209" w:firstLine="209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E3771" w:rsidRPr="00DE3771" w:rsidRDefault="00DE3771" w:rsidP="00D8498A">
      <w:pPr>
        <w:jc w:val="both"/>
      </w:pPr>
    </w:p>
    <w:p w:rsidR="00DE3771" w:rsidRPr="00DE3771" w:rsidRDefault="00DE3771" w:rsidP="00D8498A">
      <w:pPr>
        <w:numPr>
          <w:ilvl w:val="0"/>
          <w:numId w:val="22"/>
        </w:numPr>
        <w:tabs>
          <w:tab w:val="clear" w:pos="360"/>
          <w:tab w:val="num" w:pos="567"/>
        </w:tabs>
        <w:jc w:val="both"/>
      </w:pPr>
      <w:r w:rsidRPr="00DE3771">
        <w:t xml:space="preserve">Wynagrodzenie Wykonawcy z tytułu ubezpieczenia mienia i odpowiedzialności cywilnej będzie płatne </w:t>
      </w:r>
      <w:r w:rsidR="0097326A">
        <w:t xml:space="preserve">w 4 </w:t>
      </w:r>
      <w:r w:rsidRPr="00DE3771">
        <w:t xml:space="preserve">ratach </w:t>
      </w:r>
      <w:r w:rsidR="0097326A" w:rsidRPr="00DE3771">
        <w:t xml:space="preserve">w każdym </w:t>
      </w:r>
      <w:bookmarkStart w:id="1" w:name="_GoBack"/>
      <w:bookmarkEnd w:id="1"/>
      <w:r w:rsidR="0097326A" w:rsidRPr="00DE3771">
        <w:t xml:space="preserve">rocznym okresie ubezpieczenia </w:t>
      </w:r>
      <w:r w:rsidRPr="00DE3771">
        <w:t>w następujących terminach:</w:t>
      </w:r>
    </w:p>
    <w:p w:rsidR="0097326A" w:rsidRPr="00FF4708" w:rsidRDefault="0097326A" w:rsidP="0097326A">
      <w:pPr>
        <w:numPr>
          <w:ilvl w:val="1"/>
          <w:numId w:val="22"/>
        </w:numPr>
        <w:tabs>
          <w:tab w:val="num" w:pos="1997"/>
        </w:tabs>
        <w:spacing w:before="120"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  <w:r w:rsidRPr="00FF4708">
        <w:rPr>
          <w:rFonts w:ascii="Calibri" w:eastAsia="Times New Roman" w:hAnsi="Calibri" w:cs="Times New Roman"/>
          <w:lang w:val="x-none" w:eastAsia="pl-PL"/>
        </w:rPr>
        <w:t>I rata płatna do 15.02.</w:t>
      </w:r>
    </w:p>
    <w:p w:rsidR="0097326A" w:rsidRPr="00FF4708" w:rsidRDefault="0097326A" w:rsidP="0097326A">
      <w:pPr>
        <w:numPr>
          <w:ilvl w:val="1"/>
          <w:numId w:val="22"/>
        </w:numPr>
        <w:tabs>
          <w:tab w:val="num" w:pos="1997"/>
        </w:tabs>
        <w:spacing w:before="120"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  <w:r w:rsidRPr="00FF4708">
        <w:rPr>
          <w:rFonts w:ascii="Calibri" w:eastAsia="Times New Roman" w:hAnsi="Calibri" w:cs="Times New Roman"/>
          <w:lang w:val="x-none" w:eastAsia="pl-PL"/>
        </w:rPr>
        <w:t>II rata płatna do 15.05.</w:t>
      </w:r>
    </w:p>
    <w:p w:rsidR="0097326A" w:rsidRPr="00FF4708" w:rsidRDefault="0097326A" w:rsidP="0097326A">
      <w:pPr>
        <w:numPr>
          <w:ilvl w:val="1"/>
          <w:numId w:val="22"/>
        </w:numPr>
        <w:tabs>
          <w:tab w:val="num" w:pos="1997"/>
        </w:tabs>
        <w:spacing w:before="120"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  <w:r w:rsidRPr="00FF4708">
        <w:rPr>
          <w:rFonts w:ascii="Calibri" w:eastAsia="Times New Roman" w:hAnsi="Calibri" w:cs="Times New Roman"/>
          <w:lang w:val="x-none" w:eastAsia="pl-PL"/>
        </w:rPr>
        <w:t>III rata płatna do 15.08.</w:t>
      </w:r>
    </w:p>
    <w:p w:rsidR="0097326A" w:rsidRDefault="0097326A" w:rsidP="0097326A">
      <w:pPr>
        <w:numPr>
          <w:ilvl w:val="1"/>
          <w:numId w:val="22"/>
        </w:numPr>
        <w:tabs>
          <w:tab w:val="num" w:pos="1997"/>
        </w:tabs>
        <w:spacing w:before="120" w:after="0" w:line="240" w:lineRule="auto"/>
        <w:jc w:val="both"/>
        <w:rPr>
          <w:rFonts w:ascii="Calibri" w:eastAsia="Times New Roman" w:hAnsi="Calibri" w:cs="Times New Roman"/>
          <w:lang w:val="x-none" w:eastAsia="pl-PL"/>
        </w:rPr>
      </w:pPr>
      <w:r w:rsidRPr="00FF4708">
        <w:rPr>
          <w:rFonts w:ascii="Calibri" w:eastAsia="Times New Roman" w:hAnsi="Calibri" w:cs="Times New Roman"/>
          <w:lang w:val="x-none" w:eastAsia="pl-PL"/>
        </w:rPr>
        <w:t>IV rata płatna do 15.11.</w:t>
      </w:r>
    </w:p>
    <w:p w:rsidR="00D87959" w:rsidRPr="00FF4708" w:rsidRDefault="00D87959" w:rsidP="00D87959">
      <w:pPr>
        <w:tabs>
          <w:tab w:val="num" w:pos="1997"/>
        </w:tabs>
        <w:spacing w:before="120" w:after="0" w:line="240" w:lineRule="auto"/>
        <w:ind w:left="792"/>
        <w:jc w:val="both"/>
        <w:rPr>
          <w:rFonts w:ascii="Calibri" w:eastAsia="Times New Roman" w:hAnsi="Calibri" w:cs="Times New Roman"/>
          <w:lang w:val="x-none" w:eastAsia="pl-PL"/>
        </w:rPr>
      </w:pPr>
    </w:p>
    <w:p w:rsidR="00DE3771" w:rsidRPr="00DE3771" w:rsidRDefault="00DE3771" w:rsidP="00D8498A">
      <w:pPr>
        <w:numPr>
          <w:ilvl w:val="0"/>
          <w:numId w:val="22"/>
        </w:numPr>
        <w:tabs>
          <w:tab w:val="clear" w:pos="360"/>
          <w:tab w:val="num" w:pos="567"/>
        </w:tabs>
        <w:jc w:val="both"/>
      </w:pPr>
      <w:r w:rsidRPr="00DE3771">
        <w:rPr>
          <w:bCs/>
        </w:rPr>
        <w:t xml:space="preserve">Zapłata raty składki dokonywana będzie przelewem bankowym na podstawie prawidłowo wystawionej przez Wykonawcę polisy, która zostanie przekazana do Zamawiającego nie później niż na 14 dni przed terminem jej płatności określonym w ust. 2. </w:t>
      </w:r>
    </w:p>
    <w:p w:rsidR="00DE3771" w:rsidRPr="00DE3771" w:rsidRDefault="00DE3771" w:rsidP="00D8498A">
      <w:pPr>
        <w:numPr>
          <w:ilvl w:val="0"/>
          <w:numId w:val="22"/>
        </w:numPr>
        <w:tabs>
          <w:tab w:val="clear" w:pos="360"/>
          <w:tab w:val="num" w:pos="567"/>
        </w:tabs>
        <w:jc w:val="both"/>
      </w:pPr>
      <w:r w:rsidRPr="00DE3771">
        <w:t xml:space="preserve">Zapłata składki wynikającej z </w:t>
      </w:r>
      <w:proofErr w:type="spellStart"/>
      <w:r w:rsidRPr="00DE3771">
        <w:t>doubezpieczeń</w:t>
      </w:r>
      <w:proofErr w:type="spellEnd"/>
      <w:r w:rsidRPr="00DE3771">
        <w:t>, ubezpieczeń krótkoterminowych nastąpi w terminie 14 dni od daty wystawienia dokumentu potwierdzającego ochronę ubezpieczeniową. Składka za objęcie automatyczną ochroną zwiększonej sumy ubezpieczenia w danym rocznym okresie ubezpieczenia będzie płatna w terminie 14 dni od daty rozliczenia.</w:t>
      </w:r>
      <w:r w:rsidR="007F0474">
        <w:t xml:space="preserve"> </w:t>
      </w:r>
      <w:r w:rsidRPr="00DE3771">
        <w:t xml:space="preserve">Po zakończeniu trzeciego rocznego okresu ubezpieczenia dopłata składki za objęcie automatyczną ochroną zwiększonej sumy ubezpieczenia w trzecim rocznym okresie ubezpieczenia nastąpi do </w:t>
      </w:r>
      <w:r w:rsidR="007F0474">
        <w:t>15</w:t>
      </w:r>
      <w:r w:rsidRPr="00DE3771">
        <w:t>.</w:t>
      </w:r>
      <w:r w:rsidR="007F0474">
        <w:t>03</w:t>
      </w:r>
      <w:r w:rsidRPr="00DE3771">
        <w:t>.2019 r.</w:t>
      </w:r>
    </w:p>
    <w:p w:rsidR="00DE3771" w:rsidRPr="00DE3771" w:rsidRDefault="00DE3771" w:rsidP="00D8498A">
      <w:pPr>
        <w:numPr>
          <w:ilvl w:val="0"/>
          <w:numId w:val="22"/>
        </w:numPr>
        <w:tabs>
          <w:tab w:val="clear" w:pos="360"/>
          <w:tab w:val="num" w:pos="567"/>
        </w:tabs>
        <w:jc w:val="both"/>
      </w:pPr>
      <w:r w:rsidRPr="00DE3771">
        <w:t>Za datę realizacji płatności raty składki uważa się datę złożenia zlecenia w banku na właściwy rachunek Wykonawcy, pod warunkiem, że na rachunku Zamawiającego znajdowała się wystarczająca ilość środków.</w:t>
      </w:r>
    </w:p>
    <w:p w:rsidR="00DE3771" w:rsidRPr="00DE3771" w:rsidRDefault="00DE3771" w:rsidP="00D8498A">
      <w:pPr>
        <w:numPr>
          <w:ilvl w:val="0"/>
          <w:numId w:val="22"/>
        </w:numPr>
        <w:tabs>
          <w:tab w:val="clear" w:pos="360"/>
          <w:tab w:val="num" w:pos="567"/>
        </w:tabs>
        <w:jc w:val="both"/>
      </w:pPr>
      <w:r w:rsidRPr="00DE3771">
        <w:t xml:space="preserve">W przypadku wygaśnięcia ochrony ubezpieczeniowej w odniesieniu do poszczególnych składników mienia przed upływem okresu, na jaki została zawarta umowa ubezpieczenia, Zamawiającemu przysługuje zwrot składki za okres niewykorzystanej ochrony ubezpieczeniowej, a kwota nadpłaconej składki zostanie wyliczona według zasad określonych w Załączniku nr 1. Składka nadpłacona w danym roku ubezpieczenia zostanie zwrócona do </w:t>
      </w:r>
      <w:r w:rsidR="007F0474">
        <w:t>15 marca</w:t>
      </w:r>
      <w:r w:rsidRPr="00DE3771">
        <w:t xml:space="preserve"> następnego roku na podstawie noty obciążeniowej. Po zakończeniu trzeciego rocznego okresu ubezpieczenia zwrot składki nadpłaconej za rok poprzedni nastąpi do</w:t>
      </w:r>
      <w:r w:rsidR="00D87959">
        <w:t xml:space="preserve"> </w:t>
      </w:r>
      <w:r w:rsidR="007F0474">
        <w:t>15 marca</w:t>
      </w:r>
      <w:r w:rsidRPr="00DE3771">
        <w:t xml:space="preserve"> 2019 r. na podstawie noty obciążeniowej.</w:t>
      </w:r>
    </w:p>
    <w:p w:rsidR="00DE3771" w:rsidRPr="00DE3771" w:rsidRDefault="00DE3771" w:rsidP="00D8498A">
      <w:pPr>
        <w:numPr>
          <w:ilvl w:val="0"/>
          <w:numId w:val="22"/>
        </w:numPr>
        <w:tabs>
          <w:tab w:val="clear" w:pos="360"/>
          <w:tab w:val="num" w:pos="567"/>
        </w:tabs>
        <w:jc w:val="both"/>
      </w:pPr>
      <w:r w:rsidRPr="00DE3771">
        <w:t>Niewykorzystana kwota zamówienia określona w ust. 1 nie podlega wypłacie. Wykonawcy nie przysługuje żadne prawo do otrzymania kwoty niewykorzystanej w okresie obowiązywania Umowy.</w:t>
      </w:r>
    </w:p>
    <w:p w:rsidR="00DE3771" w:rsidRPr="00DE3771" w:rsidRDefault="00DE3771" w:rsidP="00D8498A">
      <w:pPr>
        <w:numPr>
          <w:ilvl w:val="0"/>
          <w:numId w:val="22"/>
        </w:numPr>
        <w:tabs>
          <w:tab w:val="clear" w:pos="360"/>
          <w:tab w:val="num" w:pos="567"/>
        </w:tabs>
        <w:jc w:val="both"/>
      </w:pPr>
      <w:r w:rsidRPr="00DE3771">
        <w:t>Wykonawca gwarantuje niezmienność stawek (stóp składek w %) określonych w Ofercie.</w:t>
      </w:r>
    </w:p>
    <w:p w:rsidR="00DE3771" w:rsidRPr="00DE3771" w:rsidRDefault="00DE3771" w:rsidP="00D8498A">
      <w:pPr>
        <w:numPr>
          <w:ilvl w:val="0"/>
          <w:numId w:val="22"/>
        </w:numPr>
        <w:tabs>
          <w:tab w:val="clear" w:pos="360"/>
          <w:tab w:val="num" w:pos="567"/>
        </w:tabs>
        <w:jc w:val="both"/>
      </w:pPr>
      <w:r w:rsidRPr="00DE3771">
        <w:t>Wykonawca nie będzie stosował składek minimalnych.</w:t>
      </w:r>
    </w:p>
    <w:p w:rsidR="00DE3771" w:rsidRDefault="00DE3771" w:rsidP="00D8498A">
      <w:pPr>
        <w:jc w:val="both"/>
        <w:rPr>
          <w:b/>
        </w:rPr>
      </w:pPr>
    </w:p>
    <w:p w:rsidR="00806736" w:rsidRPr="00DE3771" w:rsidRDefault="00806736" w:rsidP="00D8498A">
      <w:pPr>
        <w:jc w:val="both"/>
        <w:rPr>
          <w:b/>
        </w:rPr>
      </w:pPr>
    </w:p>
    <w:p w:rsidR="00DE3771" w:rsidRPr="00DE3771" w:rsidRDefault="00DE3771" w:rsidP="00D87959">
      <w:pPr>
        <w:jc w:val="center"/>
        <w:rPr>
          <w:b/>
        </w:rPr>
      </w:pPr>
      <w:r w:rsidRPr="00DE3771">
        <w:rPr>
          <w:b/>
        </w:rPr>
        <w:t>§ 6</w:t>
      </w:r>
    </w:p>
    <w:p w:rsidR="00DE3771" w:rsidRPr="00DE3771" w:rsidRDefault="00DE3771" w:rsidP="00D87959">
      <w:pPr>
        <w:jc w:val="center"/>
      </w:pPr>
      <w:r w:rsidRPr="00DE3771">
        <w:rPr>
          <w:b/>
        </w:rPr>
        <w:t>Zmiany sum ubezpieczenia oraz doubezpieczenia i ubezpieczenia krótkoterminowe</w:t>
      </w:r>
    </w:p>
    <w:p w:rsidR="00DE3771" w:rsidRPr="00DE3771" w:rsidRDefault="00DE3771" w:rsidP="00D8498A">
      <w:pPr>
        <w:numPr>
          <w:ilvl w:val="1"/>
          <w:numId w:val="8"/>
        </w:numPr>
        <w:jc w:val="both"/>
      </w:pPr>
      <w:r w:rsidRPr="00DE3771">
        <w:t xml:space="preserve">Zamawiający przewiduje możliwość ubezpieczenia mienia, którego posiadaczem stanie się Zamawiający w trakcie trwania Umowy. Ubezpieczenia te przyjmą formę: </w:t>
      </w:r>
    </w:p>
    <w:p w:rsidR="00DE3771" w:rsidRPr="00DE3771" w:rsidRDefault="00DE3771" w:rsidP="00D8498A">
      <w:pPr>
        <w:numPr>
          <w:ilvl w:val="1"/>
          <w:numId w:val="9"/>
        </w:numPr>
        <w:jc w:val="both"/>
      </w:pPr>
      <w:proofErr w:type="spellStart"/>
      <w:r w:rsidRPr="00DE3771">
        <w:t>doubezpieczeń</w:t>
      </w:r>
      <w:proofErr w:type="spellEnd"/>
      <w:r w:rsidRPr="00DE3771">
        <w:t>, które polegają na  objęciu ochroną ubezpieczeniową każdego wzrostu wartości mienia, który nastąpił w szczególności na podstawie inwestycji, modernizacji;</w:t>
      </w:r>
    </w:p>
    <w:p w:rsidR="00DE3771" w:rsidRPr="00DE3771" w:rsidRDefault="00DE3771" w:rsidP="00D8498A">
      <w:pPr>
        <w:numPr>
          <w:ilvl w:val="1"/>
          <w:numId w:val="9"/>
        </w:numPr>
        <w:jc w:val="both"/>
      </w:pPr>
      <w:r w:rsidRPr="00DE3771">
        <w:t xml:space="preserve">ubezpieczeń krótkoterminowych, </w:t>
      </w:r>
      <w:r w:rsidR="000745A8">
        <w:t xml:space="preserve">które </w:t>
      </w:r>
      <w:r w:rsidRPr="00DE3771">
        <w:t>polegają na objęciu ochroną ubezpieczeniową przedmiotu, którego właścicielem, posiadaczem lub użytkownikiem stanie się Zamawiający na podstawie umów sprzedaży bądź innych umów, na mocy których powstaje po stronie Zamawiającego ryzyko uszczerbku w interesie majątkowym (w odniesieniu do np. umowy leasingu, okresowego przekazania do testów, najmu, użytkowania itp.) od dnia zawarcia takiej umowy w odniesieniu do danej rzeczy, niezależnie od momentu przejścia własności bądź innego prawa na Zamawiającego, bądź z dniem przejścia na Zamawiającego ryzyka utraty, zniszczenia, uszkodzenia, w zależności która z powyższych sytuacji zajdzie wcześniej.</w:t>
      </w:r>
    </w:p>
    <w:p w:rsidR="00DE3771" w:rsidRPr="00DE3771" w:rsidRDefault="00DE3771" w:rsidP="00806736">
      <w:pPr>
        <w:numPr>
          <w:ilvl w:val="0"/>
          <w:numId w:val="9"/>
        </w:numPr>
        <w:jc w:val="both"/>
        <w:rPr>
          <w:b/>
        </w:rPr>
      </w:pPr>
      <w:r w:rsidRPr="00DE3771">
        <w:t xml:space="preserve">Składki za ubezpieczenia określone w ust. 1 będą naliczane na zasadach określonych w </w:t>
      </w:r>
      <w:r w:rsidR="00806736" w:rsidRPr="00806736">
        <w:t>Załączniku nr 1 do Umowy – Umowie Generalnej Ubezpieczenia</w:t>
      </w:r>
      <w:r w:rsidRPr="00DE3771">
        <w:t>.</w:t>
      </w:r>
    </w:p>
    <w:p w:rsidR="00DE3771" w:rsidRPr="00DE3771" w:rsidRDefault="00DE3771" w:rsidP="00D8498A">
      <w:pPr>
        <w:numPr>
          <w:ilvl w:val="0"/>
          <w:numId w:val="9"/>
        </w:numPr>
        <w:jc w:val="both"/>
        <w:rPr>
          <w:b/>
        </w:rPr>
      </w:pPr>
      <w:r w:rsidRPr="00DE3771">
        <w:t>Zamawiający zapłaci  składkę za okres udzielonej ochrony ubezpieczeniowej, według zasady określonej w punkcie 6.11. w Sekcji I Umowy Generalnej Ubezpieczenia, w punkcie 6.2. w Sekcji IV Umowy Generalnej Ubezpieczenia lub zasady pro rata temporis (w zależności od sposobu zgłoszenia danego składnika mienia do ubezpieczenia).</w:t>
      </w:r>
    </w:p>
    <w:p w:rsidR="00DE3771" w:rsidRPr="00DE3771" w:rsidRDefault="00DE3771" w:rsidP="00D8498A">
      <w:pPr>
        <w:jc w:val="both"/>
        <w:rPr>
          <w:b/>
        </w:rPr>
      </w:pPr>
    </w:p>
    <w:p w:rsidR="00DE3771" w:rsidRPr="00DE3771" w:rsidRDefault="00DE3771" w:rsidP="000745A8">
      <w:pPr>
        <w:jc w:val="center"/>
        <w:rPr>
          <w:b/>
        </w:rPr>
      </w:pPr>
      <w:r w:rsidRPr="00DE3771">
        <w:rPr>
          <w:b/>
        </w:rPr>
        <w:t>§ 7</w:t>
      </w:r>
    </w:p>
    <w:p w:rsidR="00DE3771" w:rsidRPr="00DE3771" w:rsidRDefault="00806736" w:rsidP="000745A8">
      <w:pPr>
        <w:jc w:val="center"/>
      </w:pPr>
      <w:r>
        <w:rPr>
          <w:b/>
        </w:rPr>
        <w:t>P</w:t>
      </w:r>
      <w:r w:rsidR="00DE3771" w:rsidRPr="00DE3771">
        <w:rPr>
          <w:b/>
        </w:rPr>
        <w:t>rzewidywane zmiany w Umowie</w:t>
      </w:r>
    </w:p>
    <w:p w:rsidR="00DE3771" w:rsidRPr="00DE3771" w:rsidRDefault="00DE3771" w:rsidP="00D8498A">
      <w:pPr>
        <w:numPr>
          <w:ilvl w:val="0"/>
          <w:numId w:val="3"/>
        </w:numPr>
        <w:jc w:val="both"/>
      </w:pPr>
      <w:r w:rsidRPr="00DE3771">
        <w:t>W odniesieniu do art. 144 ust. 1 ustawy Prawo zamówień publicznych w trakcie realizacji Umowy postanowienia Umowy mogą ulec zmianom, jeżeli konieczność wprowadzenia zmian wynikać będzie z okoliczności, których nie można było przewidzieć w chwili zawarcia umowy, a w szczególności zmiany postanowień umowy mogą dotyczyć:</w:t>
      </w:r>
    </w:p>
    <w:p w:rsidR="00DE3771" w:rsidRPr="00DE3771" w:rsidRDefault="00DE3771" w:rsidP="00D8498A">
      <w:pPr>
        <w:numPr>
          <w:ilvl w:val="1"/>
          <w:numId w:val="3"/>
        </w:numPr>
        <w:jc w:val="both"/>
      </w:pPr>
      <w:r w:rsidRPr="00DE3771">
        <w:t>zmian korzystnych dla Zamawiającego, w szczególności polegających na obniżeniu stawek ubezpieczeniowych obowiązujących w Umowie;</w:t>
      </w:r>
    </w:p>
    <w:p w:rsidR="00DE3771" w:rsidRPr="00DE3771" w:rsidRDefault="00DE3771" w:rsidP="00D8498A">
      <w:pPr>
        <w:numPr>
          <w:ilvl w:val="1"/>
          <w:numId w:val="3"/>
        </w:numPr>
        <w:jc w:val="both"/>
      </w:pPr>
      <w:r w:rsidRPr="00DE3771">
        <w:t>regulacji prawnych wprowadzonych w życie po dacie podpisania Umowy, wywołujących potrzebę zmiany umowy wraz ze skutkami wprowadzenia takiej zmiany w tym zmiany dotyczącej stawki podatku od towarów i usług VAT;</w:t>
      </w:r>
    </w:p>
    <w:p w:rsidR="00DE3771" w:rsidRPr="00DE3771" w:rsidRDefault="00DE3771" w:rsidP="00D8498A">
      <w:pPr>
        <w:numPr>
          <w:ilvl w:val="1"/>
          <w:numId w:val="3"/>
        </w:numPr>
        <w:jc w:val="both"/>
      </w:pPr>
      <w:r w:rsidRPr="00DE3771">
        <w:t>oznaczenia danych dotyczących Zamawiającego lub Wykonawcy, w tym m.in. danych teleadresowych, nr telefonicznych, nr kont bankowych;</w:t>
      </w:r>
    </w:p>
    <w:p w:rsidR="00DE3771" w:rsidRPr="00DE3771" w:rsidRDefault="00DE3771" w:rsidP="00D8498A">
      <w:pPr>
        <w:numPr>
          <w:ilvl w:val="1"/>
          <w:numId w:val="3"/>
        </w:numPr>
        <w:jc w:val="both"/>
      </w:pPr>
      <w:r w:rsidRPr="00DE3771"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Zamawiającego i Wykonawcę;</w:t>
      </w:r>
    </w:p>
    <w:p w:rsidR="00DE3771" w:rsidRPr="00DE3771" w:rsidRDefault="00DE3771" w:rsidP="00D8498A">
      <w:pPr>
        <w:numPr>
          <w:ilvl w:val="1"/>
          <w:numId w:val="3"/>
        </w:numPr>
        <w:jc w:val="both"/>
      </w:pPr>
      <w:r w:rsidRPr="00DE3771">
        <w:t>zaistnienia omyłki pisarskiej lub rachunkowej;</w:t>
      </w:r>
    </w:p>
    <w:p w:rsidR="00DE3771" w:rsidRPr="00DE3771" w:rsidRDefault="00DE3771" w:rsidP="00D8498A">
      <w:pPr>
        <w:numPr>
          <w:ilvl w:val="1"/>
          <w:numId w:val="3"/>
        </w:numPr>
        <w:jc w:val="both"/>
      </w:pPr>
      <w:r w:rsidRPr="00DE3771">
        <w:t>zakresu przedmiotu Umowy oraz sposobu wykonywania przedmiotu Umowy, wraz ze skutkami wprowadzenia tej zmiany, przy czym zmiana spowodowana może być okolicznościami zaistniałymi w trakcie realizacji przedmiotu Umowy;</w:t>
      </w:r>
    </w:p>
    <w:p w:rsidR="00DE3771" w:rsidRPr="00DE3771" w:rsidRDefault="00DE3771" w:rsidP="00D8498A">
      <w:pPr>
        <w:numPr>
          <w:ilvl w:val="1"/>
          <w:numId w:val="3"/>
        </w:numPr>
        <w:jc w:val="both"/>
      </w:pPr>
      <w:r w:rsidRPr="00DE3771">
        <w:t>zmiany zakresu części zamówienia powierzonej podwykonawcom, przy pomocy którego Wykonawca realizuje przedmiot Umowy;</w:t>
      </w:r>
    </w:p>
    <w:p w:rsidR="00DE3771" w:rsidRPr="00DE3771" w:rsidRDefault="00DE3771" w:rsidP="00D8498A">
      <w:pPr>
        <w:numPr>
          <w:ilvl w:val="1"/>
          <w:numId w:val="3"/>
        </w:numPr>
        <w:jc w:val="both"/>
      </w:pPr>
      <w:r w:rsidRPr="00DE3771">
        <w:t>osób odpowiedzialnych za nadzór nad wykonywaniem umowy, o których mowa w § 4 Umowy.</w:t>
      </w:r>
    </w:p>
    <w:p w:rsidR="00DE3771" w:rsidRPr="00DE3771" w:rsidRDefault="00DE3771" w:rsidP="00D8498A">
      <w:pPr>
        <w:numPr>
          <w:ilvl w:val="0"/>
          <w:numId w:val="3"/>
        </w:numPr>
        <w:tabs>
          <w:tab w:val="clear" w:pos="360"/>
        </w:tabs>
        <w:jc w:val="both"/>
        <w:rPr>
          <w:b/>
        </w:rPr>
      </w:pPr>
      <w:r w:rsidRPr="00DE3771">
        <w:t>Wprowadzenie zmiany postanowień Umowy, o których mowa ust. 1  wymaga aneksu sporządzonego w formie pisemnej pod  rygorem nieważności.</w:t>
      </w:r>
    </w:p>
    <w:p w:rsidR="00DE3771" w:rsidRPr="00DE3771" w:rsidRDefault="00DE3771" w:rsidP="00D8498A">
      <w:pPr>
        <w:jc w:val="both"/>
        <w:rPr>
          <w:b/>
        </w:rPr>
      </w:pPr>
    </w:p>
    <w:p w:rsidR="00DE3771" w:rsidRPr="00DE3771" w:rsidRDefault="00DE3771" w:rsidP="000745A8">
      <w:pPr>
        <w:jc w:val="center"/>
      </w:pPr>
      <w:r w:rsidRPr="00DE3771">
        <w:rPr>
          <w:b/>
        </w:rPr>
        <w:t>§8</w:t>
      </w:r>
    </w:p>
    <w:p w:rsidR="00DE3771" w:rsidRPr="00DE3771" w:rsidRDefault="00DE3771" w:rsidP="000745A8">
      <w:pPr>
        <w:jc w:val="center"/>
      </w:pPr>
      <w:r w:rsidRPr="00DE3771">
        <w:rPr>
          <w:b/>
          <w:bCs/>
        </w:rPr>
        <w:t>Fundusz prewencyjny</w:t>
      </w:r>
    </w:p>
    <w:p w:rsidR="00DE3771" w:rsidRPr="00DE3771" w:rsidRDefault="00DE3771" w:rsidP="00D8498A">
      <w:pPr>
        <w:numPr>
          <w:ilvl w:val="0"/>
          <w:numId w:val="17"/>
        </w:numPr>
        <w:jc w:val="both"/>
      </w:pPr>
      <w:r w:rsidRPr="00DE3771">
        <w:t>Zamawiający zastrzega sobie prawo wystąpienia do Wykonawcy z wnioskiem o wypłatę środków na cele prewencyjne tj. zakup rzeczy lub usług mogących zapobiegać lub ograniczać liczbę wypadków oraz szkód.</w:t>
      </w:r>
    </w:p>
    <w:p w:rsidR="00DE3771" w:rsidRPr="00DE3771" w:rsidRDefault="00DE3771" w:rsidP="00D8498A">
      <w:pPr>
        <w:numPr>
          <w:ilvl w:val="0"/>
          <w:numId w:val="17"/>
        </w:numPr>
        <w:jc w:val="both"/>
      </w:pPr>
      <w:r w:rsidRPr="00DE3771">
        <w:t>Wykonawca wypłaci Zamawiającemu środki na realizację wspólnie ustalonego celu przy łącznym spełnieniu następujących warunków:</w:t>
      </w:r>
    </w:p>
    <w:p w:rsidR="00DE3771" w:rsidRPr="00DE3771" w:rsidRDefault="00DE3771" w:rsidP="00D8498A">
      <w:pPr>
        <w:numPr>
          <w:ilvl w:val="1"/>
          <w:numId w:val="17"/>
        </w:numPr>
        <w:jc w:val="both"/>
      </w:pPr>
      <w:r w:rsidRPr="00DE3771">
        <w:t>Zamawiający w trakcie każdego rocznego okresu ubezpieczenia uzgodni z Wykonawcą cel prewencyjny;</w:t>
      </w:r>
    </w:p>
    <w:p w:rsidR="00DE3771" w:rsidRPr="00DE3771" w:rsidRDefault="00DE3771" w:rsidP="00D8498A">
      <w:pPr>
        <w:numPr>
          <w:ilvl w:val="1"/>
          <w:numId w:val="17"/>
        </w:numPr>
        <w:jc w:val="both"/>
      </w:pPr>
      <w:r w:rsidRPr="00DE3771">
        <w:t>przed końcem każdego rocznego okresu ubezpieczenia Zamawiający złoży pisemny wniosek wraz z kosztorysem lub dokumentacją poniesionych wydatków;</w:t>
      </w:r>
    </w:p>
    <w:p w:rsidR="00DE3771" w:rsidRPr="00DE3771" w:rsidRDefault="00DE3771" w:rsidP="00D8498A">
      <w:pPr>
        <w:numPr>
          <w:ilvl w:val="1"/>
          <w:numId w:val="17"/>
        </w:numPr>
        <w:jc w:val="both"/>
      </w:pPr>
      <w:r w:rsidRPr="00DE3771">
        <w:t>szkodowość w okresie od początku okresu ubezpieczenia do dnia złożenia wniosku, rozumiana jako suma wypłaconych odszkodowań i rezerw na szkody zgłoszone, nie przekroczy 50% należnej składki w rocznym okresie ubezpieczenia.</w:t>
      </w:r>
    </w:p>
    <w:p w:rsidR="00DE3771" w:rsidRPr="00DE3771" w:rsidRDefault="00DE3771" w:rsidP="00D8498A">
      <w:pPr>
        <w:numPr>
          <w:ilvl w:val="0"/>
          <w:numId w:val="17"/>
        </w:numPr>
        <w:jc w:val="both"/>
        <w:rPr>
          <w:b/>
          <w:bCs/>
        </w:rPr>
      </w:pPr>
      <w:r w:rsidRPr="00DE3771">
        <w:t>Wykonawca wypłaci środki o których mowa w ust. 1 w wysokości 10% składki należnej w danym rocznym okresie ubezpieczenia na wskazany rachunek bankowy Zamawiającego w terminie 30 dni od złożenia wniosku.</w:t>
      </w:r>
    </w:p>
    <w:p w:rsidR="00DE3771" w:rsidRPr="00DE3771" w:rsidRDefault="00DE3771" w:rsidP="00D8498A">
      <w:pPr>
        <w:jc w:val="both"/>
        <w:rPr>
          <w:b/>
        </w:rPr>
      </w:pPr>
    </w:p>
    <w:p w:rsidR="00DE3771" w:rsidRPr="00DE3771" w:rsidRDefault="00DE3771" w:rsidP="00541607">
      <w:pPr>
        <w:jc w:val="center"/>
        <w:rPr>
          <w:b/>
        </w:rPr>
      </w:pPr>
      <w:r w:rsidRPr="00DE3771">
        <w:rPr>
          <w:b/>
        </w:rPr>
        <w:t>§9</w:t>
      </w:r>
    </w:p>
    <w:p w:rsidR="00DE3771" w:rsidRPr="00DE3771" w:rsidRDefault="00806736" w:rsidP="00541607">
      <w:pPr>
        <w:jc w:val="center"/>
        <w:rPr>
          <w:b/>
        </w:rPr>
      </w:pPr>
      <w:r>
        <w:rPr>
          <w:b/>
        </w:rPr>
        <w:t>O</w:t>
      </w:r>
      <w:r w:rsidR="00DE3771" w:rsidRPr="00DE3771">
        <w:rPr>
          <w:b/>
        </w:rPr>
        <w:t>dstąpienie od Umowy i wypowiedzenie Umowy</w:t>
      </w:r>
    </w:p>
    <w:p w:rsidR="00DE3771" w:rsidRPr="00DE3771" w:rsidRDefault="00DE3771" w:rsidP="00D8498A">
      <w:pPr>
        <w:numPr>
          <w:ilvl w:val="0"/>
          <w:numId w:val="21"/>
        </w:numPr>
        <w:tabs>
          <w:tab w:val="clear" w:pos="360"/>
          <w:tab w:val="num" w:pos="567"/>
        </w:tabs>
        <w:jc w:val="both"/>
      </w:pPr>
      <w:r w:rsidRPr="00DE3771">
        <w:t>Każda ze stron może wypowiedzieć Umowę wyłącznie</w:t>
      </w:r>
      <w:r w:rsidRPr="00DE3771">
        <w:rPr>
          <w:b/>
        </w:rPr>
        <w:t xml:space="preserve"> </w:t>
      </w:r>
      <w:r w:rsidRPr="00DE3771">
        <w:t>w sytuacjach przewidzianych w Umowie, z zachowaniem 6 miesięcznego okresu wypowiedzenia ze skutkiem na koniec rocznego okresu ubezpieczenia.</w:t>
      </w:r>
    </w:p>
    <w:p w:rsidR="00DE3771" w:rsidRPr="00DE3771" w:rsidRDefault="00DE3771" w:rsidP="00D8498A">
      <w:pPr>
        <w:numPr>
          <w:ilvl w:val="0"/>
          <w:numId w:val="21"/>
        </w:numPr>
        <w:tabs>
          <w:tab w:val="clear" w:pos="360"/>
          <w:tab w:val="num" w:pos="567"/>
        </w:tabs>
        <w:jc w:val="both"/>
      </w:pPr>
      <w:r w:rsidRPr="00DE3771">
        <w:t xml:space="preserve">Wykonawca może wypowiedzieć Umowę wyłącznie z ważnych powodów. Za ważne powody uważa się wyłącznie: </w:t>
      </w:r>
    </w:p>
    <w:p w:rsidR="00DE3771" w:rsidRPr="00DE3771" w:rsidRDefault="00DE3771" w:rsidP="00D8498A">
      <w:pPr>
        <w:numPr>
          <w:ilvl w:val="1"/>
          <w:numId w:val="21"/>
        </w:numPr>
        <w:jc w:val="both"/>
      </w:pPr>
      <w:r w:rsidRPr="00DE3771">
        <w:rPr>
          <w:iCs/>
        </w:rPr>
        <w:t>wycofanie się Wykonawcy z danej grupy ryzyk ubezpieczeniowych;</w:t>
      </w:r>
    </w:p>
    <w:p w:rsidR="00DE3771" w:rsidRPr="00DE3771" w:rsidRDefault="00DE3771" w:rsidP="00D8498A">
      <w:pPr>
        <w:numPr>
          <w:ilvl w:val="1"/>
          <w:numId w:val="21"/>
        </w:numPr>
        <w:jc w:val="both"/>
      </w:pPr>
      <w:r w:rsidRPr="00DE3771">
        <w:t>niewyrażenie przez Zamawiającego zgody na dokonanie lustracji ryzyka lub utrudniania jej przeprowadzenia.</w:t>
      </w:r>
    </w:p>
    <w:p w:rsidR="00DE3771" w:rsidRPr="00DE3771" w:rsidRDefault="00DE3771" w:rsidP="00D8498A">
      <w:pPr>
        <w:numPr>
          <w:ilvl w:val="0"/>
          <w:numId w:val="21"/>
        </w:numPr>
        <w:tabs>
          <w:tab w:val="clear" w:pos="360"/>
          <w:tab w:val="num" w:pos="567"/>
        </w:tabs>
        <w:jc w:val="both"/>
        <w:rPr>
          <w:b/>
          <w:u w:val="single"/>
        </w:rPr>
      </w:pPr>
      <w:r w:rsidRPr="00DE3771">
        <w:t>Zamawiający może wypowiedzieć Umowę w przypadku, gdy Wykonawca wykonuje Umowę nienależycie.</w:t>
      </w:r>
      <w:r w:rsidRPr="00DE3771">
        <w:rPr>
          <w:b/>
        </w:rPr>
        <w:t xml:space="preserve"> </w:t>
      </w:r>
    </w:p>
    <w:p w:rsidR="00DE3771" w:rsidRPr="00DE3771" w:rsidRDefault="00DE3771" w:rsidP="00D8498A">
      <w:pPr>
        <w:numPr>
          <w:ilvl w:val="1"/>
          <w:numId w:val="21"/>
        </w:numPr>
        <w:jc w:val="both"/>
      </w:pPr>
      <w:r w:rsidRPr="00DE3771">
        <w:t xml:space="preserve">Przez nienależyte wykonanie Umowy Zamawiający rozumie niewywiązywanie się Wykonawcy z postanowień umownych, w szczególności brak wypłaty odszkodowań wynikających z zakresu udzielanej ochrony ubezpieczeniowej, a które są następstwem zdarzeń powstałych w czasie realizacji przedmiotu zamówienia. </w:t>
      </w:r>
    </w:p>
    <w:p w:rsidR="00DE3771" w:rsidRPr="00DE3771" w:rsidRDefault="00DE3771" w:rsidP="00D8498A">
      <w:pPr>
        <w:numPr>
          <w:ilvl w:val="1"/>
          <w:numId w:val="21"/>
        </w:numPr>
        <w:jc w:val="both"/>
      </w:pPr>
      <w:r w:rsidRPr="00DE3771">
        <w:t xml:space="preserve">Wykonawca może żądać wynagrodzenia jedynie za okres, w którym udzielał ochrony ubezpieczeniowej. </w:t>
      </w:r>
    </w:p>
    <w:p w:rsidR="00DE3771" w:rsidRPr="00DE3771" w:rsidRDefault="00DE3771" w:rsidP="00D8498A">
      <w:pPr>
        <w:numPr>
          <w:ilvl w:val="0"/>
          <w:numId w:val="21"/>
        </w:numPr>
        <w:tabs>
          <w:tab w:val="clear" w:pos="360"/>
          <w:tab w:val="num" w:pos="567"/>
        </w:tabs>
        <w:jc w:val="both"/>
        <w:rPr>
          <w:b/>
          <w:u w:val="single"/>
        </w:rPr>
      </w:pPr>
      <w:r w:rsidRPr="00DE3771">
        <w:t>Zamawiający może wypowiedzieć Umowę ze skutkiem natychmiastowym, jeżeli Wykonawca utraci pozwolenie na prowadzenie działalności ubezpieczeniowej, w terminie 30 dni od powzięcia wiadomości o tej okoliczności. Wypowiedzenie następuje bez wypłaty jakiegokolwiek wynagrodzenia, w formie pisemnej pod rygorem nieważności i zawiera uzasadnienie. W takim przypadku Wykonawca otrzyma jedynie wynagrodzenie należne z tytułu wykonania prawidłowo części umowy.</w:t>
      </w:r>
    </w:p>
    <w:p w:rsidR="00DE3771" w:rsidRPr="00DE3771" w:rsidRDefault="00DE3771" w:rsidP="00D8498A">
      <w:pPr>
        <w:numPr>
          <w:ilvl w:val="0"/>
          <w:numId w:val="21"/>
        </w:numPr>
        <w:tabs>
          <w:tab w:val="clear" w:pos="360"/>
          <w:tab w:val="num" w:pos="567"/>
        </w:tabs>
        <w:jc w:val="both"/>
        <w:rPr>
          <w:b/>
          <w:u w:val="single"/>
        </w:rPr>
      </w:pPr>
      <w:r w:rsidRPr="00DE3771">
        <w:t>Zamawiający może odstąpić od Umowy w przypadku zaistnienia istotnej zmiany okoliczności powodującej, że wykonanie umowy nie leży w interesie publicznym, czego nie można było przewidzieć w chwili zawierania umowy, w terminie 30 dni od powzięcia wiadomości o tych okolicznościach. W takim przypadku Wykonawca może żądać wyłącznie wynagrodzenia należnego z tytułu wykonanej prawidłowo części umowy.</w:t>
      </w:r>
    </w:p>
    <w:p w:rsidR="00DE3771" w:rsidRPr="00DE3771" w:rsidRDefault="00DE3771" w:rsidP="00D8498A">
      <w:pPr>
        <w:numPr>
          <w:ilvl w:val="0"/>
          <w:numId w:val="21"/>
        </w:numPr>
        <w:tabs>
          <w:tab w:val="clear" w:pos="360"/>
          <w:tab w:val="num" w:pos="567"/>
        </w:tabs>
        <w:jc w:val="both"/>
        <w:rPr>
          <w:b/>
          <w:u w:val="single"/>
        </w:rPr>
      </w:pPr>
      <w:r w:rsidRPr="00DE3771">
        <w:rPr>
          <w:bCs/>
        </w:rPr>
        <w:t>Strony uznają, że wypłata odszkodowania nie może być przyczyną wypowiedzenia Umowy.</w:t>
      </w:r>
    </w:p>
    <w:p w:rsidR="00DE3771" w:rsidRPr="00DE3771" w:rsidRDefault="00DE3771" w:rsidP="00541607">
      <w:pPr>
        <w:jc w:val="center"/>
        <w:rPr>
          <w:b/>
        </w:rPr>
      </w:pPr>
    </w:p>
    <w:p w:rsidR="00DE3771" w:rsidRPr="00DE3771" w:rsidRDefault="00DE3771" w:rsidP="00541607">
      <w:pPr>
        <w:jc w:val="center"/>
        <w:rPr>
          <w:b/>
        </w:rPr>
      </w:pPr>
      <w:r w:rsidRPr="00DE3771">
        <w:rPr>
          <w:b/>
        </w:rPr>
        <w:t>§10</w:t>
      </w:r>
    </w:p>
    <w:p w:rsidR="00DE3771" w:rsidRPr="00DE3771" w:rsidRDefault="00DE3771" w:rsidP="00541607">
      <w:pPr>
        <w:jc w:val="center"/>
      </w:pPr>
      <w:r w:rsidRPr="00DE3771">
        <w:rPr>
          <w:b/>
        </w:rPr>
        <w:t>Obowiązki Zamawiającego</w:t>
      </w:r>
    </w:p>
    <w:p w:rsidR="00541607" w:rsidRDefault="00DE3771" w:rsidP="00541607">
      <w:pPr>
        <w:numPr>
          <w:ilvl w:val="2"/>
          <w:numId w:val="10"/>
        </w:numPr>
        <w:tabs>
          <w:tab w:val="clear" w:pos="2160"/>
        </w:tabs>
        <w:ind w:left="284"/>
        <w:jc w:val="both"/>
      </w:pPr>
      <w:r w:rsidRPr="00DE3771">
        <w:t>Zamawiający ma obowiązek zapłaty składki na zasadach określonych w Umowie.</w:t>
      </w:r>
    </w:p>
    <w:p w:rsidR="00FB295C" w:rsidRDefault="00DE3771" w:rsidP="00FB295C">
      <w:pPr>
        <w:numPr>
          <w:ilvl w:val="2"/>
          <w:numId w:val="10"/>
        </w:numPr>
        <w:tabs>
          <w:tab w:val="clear" w:pos="2160"/>
        </w:tabs>
        <w:ind w:left="284"/>
        <w:jc w:val="both"/>
      </w:pPr>
      <w:r w:rsidRPr="00DE3771">
        <w:t xml:space="preserve">Zamawiający ma obowiązek w terminach wyznaczonych w Umowie przekazywać </w:t>
      </w:r>
      <w:r w:rsidRPr="00DE3771">
        <w:br/>
        <w:t>do wiadomości Wykonawcy aktualną wysokość sum ubezpieczenia mienia objętego ochroną ubezpieczeniową.</w:t>
      </w:r>
    </w:p>
    <w:p w:rsidR="00FB295C" w:rsidRDefault="00DE3771" w:rsidP="00FB295C">
      <w:pPr>
        <w:numPr>
          <w:ilvl w:val="2"/>
          <w:numId w:val="10"/>
        </w:numPr>
        <w:tabs>
          <w:tab w:val="clear" w:pos="2160"/>
        </w:tabs>
        <w:ind w:left="284"/>
        <w:jc w:val="both"/>
      </w:pPr>
      <w:r w:rsidRPr="00DE3771">
        <w:t>Zamawiający ma obowiązek umożliwienia Wykonawcy przeprowadzenia inspekcji ubezpieczeniowej mienia zgłoszonego do ubezpieczenia oraz umożliwić przeprowadzenia oględzin mienia po szkodzie, z uwzględnieniem postanowień dotyczących zasad likwidacji szkód opisanych w Załączniku nr 2.</w:t>
      </w:r>
    </w:p>
    <w:p w:rsidR="00FB295C" w:rsidRDefault="00DE3771" w:rsidP="00FB295C">
      <w:pPr>
        <w:numPr>
          <w:ilvl w:val="2"/>
          <w:numId w:val="10"/>
        </w:numPr>
        <w:tabs>
          <w:tab w:val="clear" w:pos="2160"/>
        </w:tabs>
        <w:ind w:left="284"/>
        <w:jc w:val="both"/>
      </w:pPr>
      <w:r w:rsidRPr="00DE3771">
        <w:t>Zamawiający zobowiązany jest w razie zajścia wypadku użyć dostępnych mu środków w celu ratowania przedmiotu ubezpieczenia oraz zapobieżenia szkodzie lub zmniejszenia jej rozmiarów.</w:t>
      </w:r>
    </w:p>
    <w:p w:rsidR="00DE3771" w:rsidRPr="00DE3771" w:rsidRDefault="00DE3771" w:rsidP="00FB295C">
      <w:pPr>
        <w:numPr>
          <w:ilvl w:val="2"/>
          <w:numId w:val="10"/>
        </w:numPr>
        <w:tabs>
          <w:tab w:val="clear" w:pos="2160"/>
        </w:tabs>
        <w:ind w:left="284"/>
        <w:jc w:val="both"/>
      </w:pPr>
      <w:r w:rsidRPr="00FB295C">
        <w:rPr>
          <w:bCs/>
        </w:rPr>
        <w:t>Zamawiający zobowiązany jest do niezwłocznego informowania Wykonawcy o każdej zmianie adresu siedziby, mogącej mieć wpływ na realizację Umowy.</w:t>
      </w:r>
    </w:p>
    <w:p w:rsidR="00DE3771" w:rsidRPr="00DE3771" w:rsidRDefault="00DE3771" w:rsidP="00D8498A">
      <w:pPr>
        <w:jc w:val="both"/>
      </w:pPr>
    </w:p>
    <w:p w:rsidR="00DE3771" w:rsidRPr="00DE3771" w:rsidRDefault="00DE3771" w:rsidP="00FB295C">
      <w:pPr>
        <w:jc w:val="center"/>
        <w:rPr>
          <w:b/>
        </w:rPr>
      </w:pPr>
      <w:r w:rsidRPr="00DE3771">
        <w:rPr>
          <w:b/>
        </w:rPr>
        <w:t>§11</w:t>
      </w:r>
    </w:p>
    <w:p w:rsidR="00DE3771" w:rsidRPr="00DE3771" w:rsidRDefault="00DE3771" w:rsidP="00FB295C">
      <w:pPr>
        <w:jc w:val="center"/>
      </w:pPr>
      <w:r w:rsidRPr="00DE3771">
        <w:rPr>
          <w:b/>
        </w:rPr>
        <w:t>Obowiązki Wykonawcy</w:t>
      </w:r>
    </w:p>
    <w:p w:rsidR="00DE3771" w:rsidRPr="00DE3771" w:rsidRDefault="00DE3771" w:rsidP="00D8498A">
      <w:pPr>
        <w:numPr>
          <w:ilvl w:val="1"/>
          <w:numId w:val="1"/>
        </w:numPr>
        <w:jc w:val="both"/>
      </w:pPr>
      <w:r w:rsidRPr="00DE3771">
        <w:t xml:space="preserve">Wykonawca poprzez wyznaczonych przez siebie pracowników do obsługi Umowy będzie zobowiązany wykonywać następujące czynności: </w:t>
      </w:r>
    </w:p>
    <w:p w:rsidR="00DE3771" w:rsidRPr="00DE3771" w:rsidRDefault="00DE3771" w:rsidP="00D8498A">
      <w:pPr>
        <w:numPr>
          <w:ilvl w:val="0"/>
          <w:numId w:val="4"/>
        </w:numPr>
        <w:jc w:val="both"/>
      </w:pPr>
      <w:r w:rsidRPr="00DE3771">
        <w:t>prawidłowo i terminowo wykonywać zobowiązania i powinności przewidziane Umową oraz powszechnie obowiązującymi przepisami prawa;</w:t>
      </w:r>
    </w:p>
    <w:p w:rsidR="00DE3771" w:rsidRPr="00DE3771" w:rsidRDefault="00DE3771" w:rsidP="00D8498A">
      <w:pPr>
        <w:numPr>
          <w:ilvl w:val="0"/>
          <w:numId w:val="4"/>
        </w:numPr>
        <w:jc w:val="both"/>
      </w:pPr>
      <w:r w:rsidRPr="00DE3771">
        <w:t>udostępnić osobie występującej z roszczeniem wykaz dokumentów potrzebnych do ustalenia zobowiązania;</w:t>
      </w:r>
    </w:p>
    <w:p w:rsidR="00DE3771" w:rsidRPr="00DE3771" w:rsidRDefault="00DE3771" w:rsidP="00D8498A">
      <w:pPr>
        <w:numPr>
          <w:ilvl w:val="0"/>
          <w:numId w:val="4"/>
        </w:numPr>
        <w:jc w:val="both"/>
      </w:pPr>
      <w:r w:rsidRPr="00DE3771">
        <w:t xml:space="preserve">poinformować pisemnie Zamawiającego i osobę zgłaszającą roszczenia </w:t>
      </w:r>
      <w:r w:rsidRPr="00DE3771">
        <w:br/>
        <w:t>o decyzji dotyczącej wypłaty odszkodowania, przyczynach odmowy, ograniczeniach wypłaty odszkodowania;</w:t>
      </w:r>
    </w:p>
    <w:p w:rsidR="00DE3771" w:rsidRPr="00DE3771" w:rsidRDefault="00DE3771" w:rsidP="00D8498A">
      <w:pPr>
        <w:numPr>
          <w:ilvl w:val="0"/>
          <w:numId w:val="4"/>
        </w:numPr>
        <w:jc w:val="both"/>
      </w:pPr>
      <w:r w:rsidRPr="00DE3771">
        <w:t>udostępnić Zamawiającemu informacje i dokumenty, które miały wpływ na ustalenie odpowiedzialności i/lub wysokości zobowiązania Wykonawcy;</w:t>
      </w:r>
    </w:p>
    <w:p w:rsidR="00DE3771" w:rsidRPr="00DE3771" w:rsidRDefault="00DE3771" w:rsidP="00D8498A">
      <w:pPr>
        <w:numPr>
          <w:ilvl w:val="0"/>
          <w:numId w:val="4"/>
        </w:numPr>
        <w:jc w:val="both"/>
      </w:pPr>
      <w:r w:rsidRPr="00DE3771">
        <w:t>każdorazowo potwierdzać Brokerowi otrzymanie elektronicznego zgłoszenia szkody, zgodnie z Procedurą Realizacji Umowy Generalnej Ubezpieczenia (Załącznik nr 2).</w:t>
      </w:r>
    </w:p>
    <w:p w:rsidR="00DE3771" w:rsidRPr="00DE3771" w:rsidRDefault="00DE3771" w:rsidP="00D8498A">
      <w:pPr>
        <w:numPr>
          <w:ilvl w:val="1"/>
          <w:numId w:val="1"/>
        </w:numPr>
        <w:jc w:val="both"/>
      </w:pPr>
      <w:r w:rsidRPr="00DE3771">
        <w:t>Wykonawca jest zobowiązany do pokrycia kosztów kurtażu brokerskiego za czynności brokerskie określone w ustawie z dnia 22 maja 2003 r. o pośrednictwie ubezpieczeniowym (Dz. U. 2003 Nr 124 poz. 1154. ze. zm.), dalej „ustawa o pośrednictwie ubezpieczeniowym”. Kurtaż zostanie ustalony w wysokości stawek rynkowych dla danego ryzyka.</w:t>
      </w:r>
    </w:p>
    <w:p w:rsidR="00DE3771" w:rsidRPr="00DE3771" w:rsidRDefault="00DE3771" w:rsidP="00D8498A">
      <w:pPr>
        <w:numPr>
          <w:ilvl w:val="1"/>
          <w:numId w:val="1"/>
        </w:numPr>
        <w:jc w:val="both"/>
        <w:rPr>
          <w:bCs/>
        </w:rPr>
      </w:pPr>
      <w:r w:rsidRPr="00DE3771">
        <w:t>Wykonawca będzie pokrywał koszty określone w ust. 2 przez cały okres realizowania Umowy.</w:t>
      </w:r>
    </w:p>
    <w:p w:rsidR="00DE3771" w:rsidRPr="00DE3771" w:rsidRDefault="00DE3771" w:rsidP="00D8498A">
      <w:pPr>
        <w:numPr>
          <w:ilvl w:val="1"/>
          <w:numId w:val="1"/>
        </w:numPr>
        <w:jc w:val="both"/>
        <w:rPr>
          <w:b/>
        </w:rPr>
      </w:pPr>
      <w:r w:rsidRPr="00DE3771">
        <w:rPr>
          <w:bCs/>
        </w:rPr>
        <w:t xml:space="preserve">Wykonawca zobowiązany jest do niezwłocznego informowania Zamawiającego o każdej zmianie w działalności Wykonawcy mogącej mieć wpływ na realizację Umowy. W przypadku niedopełnienia tego obowiązku Wykonawca będzie obciążony wszystkimi kosztami, jakie poniósł Zamawiający w wyniku niniejszego zaniechania. </w:t>
      </w:r>
    </w:p>
    <w:p w:rsidR="00DE3771" w:rsidRPr="00DE3771" w:rsidRDefault="00DE3771" w:rsidP="00D8498A">
      <w:pPr>
        <w:jc w:val="both"/>
        <w:rPr>
          <w:b/>
        </w:rPr>
      </w:pPr>
    </w:p>
    <w:p w:rsidR="00DE3771" w:rsidRPr="00DE3771" w:rsidRDefault="00DE3771" w:rsidP="00696093">
      <w:pPr>
        <w:jc w:val="center"/>
        <w:rPr>
          <w:b/>
        </w:rPr>
      </w:pPr>
      <w:r w:rsidRPr="00DE3771">
        <w:rPr>
          <w:b/>
        </w:rPr>
        <w:t>§12</w:t>
      </w:r>
    </w:p>
    <w:p w:rsidR="00DE3771" w:rsidRPr="00DE3771" w:rsidRDefault="00DE3771" w:rsidP="00696093">
      <w:pPr>
        <w:jc w:val="center"/>
      </w:pPr>
      <w:r w:rsidRPr="00DE3771">
        <w:rPr>
          <w:b/>
        </w:rPr>
        <w:t>Obowiązki Brokera</w:t>
      </w:r>
    </w:p>
    <w:p w:rsidR="00DE3771" w:rsidRPr="00DE3771" w:rsidRDefault="00DE3771" w:rsidP="00D8498A">
      <w:pPr>
        <w:numPr>
          <w:ilvl w:val="1"/>
          <w:numId w:val="2"/>
        </w:numPr>
        <w:jc w:val="both"/>
      </w:pPr>
      <w:r w:rsidRPr="00DE3771">
        <w:t>Pełnomocnik Zamawiającego -  Broker wskazany w §2  jest upoważniony do wykonywania następujących czynności:</w:t>
      </w:r>
    </w:p>
    <w:p w:rsidR="00DE3771" w:rsidRPr="00DE3771" w:rsidRDefault="00DE3771" w:rsidP="00D8498A">
      <w:pPr>
        <w:numPr>
          <w:ilvl w:val="0"/>
          <w:numId w:val="6"/>
        </w:numPr>
        <w:jc w:val="both"/>
      </w:pPr>
      <w:r w:rsidRPr="00DE3771">
        <w:t>reprezentowania Zamawiającego, organizacji i planowania jego ochrony ubezpieczeniowej w zakresie ubezpieczeń majątkowych i osobowych, zgodnie z aktami prawnymi regulującymi działalność brokerską, z wyłączeniem zawierania umów ubezpieczenia;</w:t>
      </w:r>
    </w:p>
    <w:p w:rsidR="00DE3771" w:rsidRPr="00DE3771" w:rsidRDefault="00DE3771" w:rsidP="00D8498A">
      <w:pPr>
        <w:numPr>
          <w:ilvl w:val="0"/>
          <w:numId w:val="6"/>
        </w:numPr>
        <w:jc w:val="both"/>
      </w:pPr>
      <w:r w:rsidRPr="00DE3771">
        <w:t xml:space="preserve">złożenia do Wykonawcy wniosku o udzielenie ochrony ubezpieczeniowej; </w:t>
      </w:r>
    </w:p>
    <w:p w:rsidR="00DE3771" w:rsidRPr="00DE3771" w:rsidRDefault="00DE3771" w:rsidP="00D8498A">
      <w:pPr>
        <w:numPr>
          <w:ilvl w:val="0"/>
          <w:numId w:val="6"/>
        </w:numPr>
        <w:jc w:val="both"/>
      </w:pPr>
      <w:r w:rsidRPr="00DE3771">
        <w:t>corocznego aktualizowania sum ubezpieczenia mienia Zamawiającego zgłoszonego do ubezpieczenia;</w:t>
      </w:r>
    </w:p>
    <w:p w:rsidR="00DE3771" w:rsidRPr="00DE3771" w:rsidRDefault="00DE3771" w:rsidP="00D8498A">
      <w:pPr>
        <w:numPr>
          <w:ilvl w:val="0"/>
          <w:numId w:val="6"/>
        </w:numPr>
        <w:jc w:val="both"/>
      </w:pPr>
      <w:r w:rsidRPr="00DE3771">
        <w:t>złożenia wniosku o doubezpieczenie i ubezpieczenia krótkoterminowe;</w:t>
      </w:r>
    </w:p>
    <w:p w:rsidR="00DE3771" w:rsidRPr="00DE3771" w:rsidRDefault="00DE3771" w:rsidP="00D8498A">
      <w:pPr>
        <w:numPr>
          <w:ilvl w:val="0"/>
          <w:numId w:val="6"/>
        </w:numPr>
        <w:jc w:val="both"/>
      </w:pPr>
      <w:r w:rsidRPr="00DE3771">
        <w:t>administrowania wykonania zamówienia publicznego pod względem prawidłowości i zgodności z przedmiotem zamówienia;</w:t>
      </w:r>
    </w:p>
    <w:p w:rsidR="00DE3771" w:rsidRPr="00DE3771" w:rsidRDefault="00DE3771" w:rsidP="00D8498A">
      <w:pPr>
        <w:numPr>
          <w:ilvl w:val="0"/>
          <w:numId w:val="6"/>
        </w:numPr>
        <w:jc w:val="both"/>
      </w:pPr>
      <w:r w:rsidRPr="00DE3771">
        <w:t xml:space="preserve">opracowania przy udziale Wykonawcy Procedury Realizacji Umowy Generalnej Ubezpieczenia, o której mowa w § 4 ust. 4 Umowy; </w:t>
      </w:r>
    </w:p>
    <w:p w:rsidR="00DE3771" w:rsidRPr="00DE3771" w:rsidRDefault="00DE3771" w:rsidP="00D8498A">
      <w:pPr>
        <w:numPr>
          <w:ilvl w:val="0"/>
          <w:numId w:val="6"/>
        </w:numPr>
        <w:jc w:val="both"/>
      </w:pPr>
      <w:r w:rsidRPr="00DE3771">
        <w:t>administrowana procesem likwidacji szkód w imieniu Zamawiającego;</w:t>
      </w:r>
    </w:p>
    <w:p w:rsidR="00DE3771" w:rsidRPr="00DE3771" w:rsidRDefault="00DE3771" w:rsidP="00D8498A">
      <w:pPr>
        <w:numPr>
          <w:ilvl w:val="0"/>
          <w:numId w:val="6"/>
        </w:numPr>
        <w:jc w:val="both"/>
      </w:pPr>
      <w:r w:rsidRPr="00DE3771">
        <w:t>monitorowania zgodności procesu likwidacji szkód z przepisami prawa i postanowieniami Umowy;</w:t>
      </w:r>
    </w:p>
    <w:p w:rsidR="00DE3771" w:rsidRPr="00DE3771" w:rsidRDefault="00DE3771" w:rsidP="00D8498A">
      <w:pPr>
        <w:numPr>
          <w:ilvl w:val="0"/>
          <w:numId w:val="6"/>
        </w:numPr>
        <w:jc w:val="both"/>
      </w:pPr>
      <w:r w:rsidRPr="00DE3771">
        <w:t>sprawdzania prawidłowości wystawionych przez Wykonawcę dokumentów ubezpieczeniowych w zakresie udzielonego zamówienia;</w:t>
      </w:r>
    </w:p>
    <w:p w:rsidR="00DE3771" w:rsidRPr="00DE3771" w:rsidRDefault="00DE3771" w:rsidP="00D8498A">
      <w:pPr>
        <w:numPr>
          <w:ilvl w:val="0"/>
          <w:numId w:val="6"/>
        </w:numPr>
        <w:jc w:val="both"/>
      </w:pPr>
      <w:r w:rsidRPr="00DE3771">
        <w:t>występowania w imieniu Zamawiającego o zwrot nadpłaconych składek;</w:t>
      </w:r>
    </w:p>
    <w:p w:rsidR="00DE3771" w:rsidRPr="00DE3771" w:rsidRDefault="00DE3771" w:rsidP="00D8498A">
      <w:pPr>
        <w:numPr>
          <w:ilvl w:val="0"/>
          <w:numId w:val="6"/>
        </w:numPr>
        <w:jc w:val="both"/>
        <w:rPr>
          <w:b/>
        </w:rPr>
      </w:pPr>
      <w:r w:rsidRPr="00DE3771">
        <w:t>innych czynności wynikających z udzielonego pełnomocnictwa.</w:t>
      </w:r>
    </w:p>
    <w:p w:rsidR="00DE3771" w:rsidRPr="00DE3771" w:rsidRDefault="00DE3771" w:rsidP="00D8498A">
      <w:pPr>
        <w:jc w:val="both"/>
        <w:rPr>
          <w:b/>
        </w:rPr>
      </w:pPr>
    </w:p>
    <w:p w:rsidR="00DE3771" w:rsidRPr="00DE3771" w:rsidRDefault="00DE3771" w:rsidP="0069655F">
      <w:pPr>
        <w:jc w:val="center"/>
        <w:rPr>
          <w:b/>
        </w:rPr>
      </w:pPr>
      <w:r w:rsidRPr="00DE3771">
        <w:rPr>
          <w:b/>
        </w:rPr>
        <w:t>§ 13</w:t>
      </w:r>
    </w:p>
    <w:p w:rsidR="00DE3771" w:rsidRPr="00DE3771" w:rsidRDefault="00DE3771" w:rsidP="0069655F">
      <w:pPr>
        <w:jc w:val="center"/>
      </w:pPr>
      <w:r w:rsidRPr="00DE3771">
        <w:rPr>
          <w:b/>
        </w:rPr>
        <w:t>Forma komunikacji</w:t>
      </w:r>
    </w:p>
    <w:p w:rsidR="00DE3771" w:rsidRPr="00DE3771" w:rsidRDefault="00DE3771" w:rsidP="0069655F">
      <w:pPr>
        <w:numPr>
          <w:ilvl w:val="2"/>
          <w:numId w:val="2"/>
        </w:numPr>
        <w:tabs>
          <w:tab w:val="clear" w:pos="2160"/>
        </w:tabs>
        <w:ind w:left="142"/>
        <w:jc w:val="both"/>
      </w:pPr>
      <w:r w:rsidRPr="00DE3771">
        <w:t>Dopuszczalną formą komunikacji pomiędzy Zamawiającym, Brokerem a Wykonawcą jest przekazywanie dokumentów za pośrednictwem poczty elektronicznej lub faxu, za wyjątkiem aneksów do Umowy, o których mowa w § 7, oświadczeń woli o odstąpieniu od Umowy, o których mowa w § 9, dokumentów ubezpieczenia oraz potwierdzeń o zawartym ubezpieczeniu – dokumenty te muszą być wystawione w formie pisemnej pod rygorem nieważności. Każda ze stron zachowuje prawo żądania potwierdzenia odbioru przekazanych dokumentów.</w:t>
      </w:r>
    </w:p>
    <w:p w:rsidR="00DE3771" w:rsidRPr="00DE3771" w:rsidRDefault="00DE3771" w:rsidP="0069655F">
      <w:pPr>
        <w:numPr>
          <w:ilvl w:val="2"/>
          <w:numId w:val="2"/>
        </w:numPr>
        <w:tabs>
          <w:tab w:val="clear" w:pos="2160"/>
        </w:tabs>
        <w:ind w:left="142"/>
        <w:jc w:val="both"/>
        <w:rPr>
          <w:b/>
          <w:bCs/>
        </w:rPr>
      </w:pPr>
      <w:r w:rsidRPr="00DE3771">
        <w:t>Korespondencja między Stronami dotycząca wykonywania Umowy będzie przekazywana do wiadomości Brokera.</w:t>
      </w:r>
    </w:p>
    <w:p w:rsidR="00DE3771" w:rsidRPr="00DE3771" w:rsidRDefault="00DE3771" w:rsidP="00D8498A">
      <w:pPr>
        <w:jc w:val="both"/>
        <w:rPr>
          <w:b/>
          <w:bCs/>
        </w:rPr>
      </w:pPr>
    </w:p>
    <w:p w:rsidR="00DE3771" w:rsidRPr="00DE3771" w:rsidRDefault="00DE3771" w:rsidP="0069655F">
      <w:pPr>
        <w:jc w:val="center"/>
        <w:rPr>
          <w:b/>
          <w:bCs/>
        </w:rPr>
      </w:pPr>
      <w:r w:rsidRPr="00DE3771">
        <w:rPr>
          <w:b/>
          <w:bCs/>
        </w:rPr>
        <w:t>§ 14</w:t>
      </w:r>
    </w:p>
    <w:p w:rsidR="00DE3771" w:rsidRPr="00DE3771" w:rsidRDefault="00DE3771" w:rsidP="0069655F">
      <w:pPr>
        <w:jc w:val="center"/>
      </w:pPr>
      <w:r w:rsidRPr="00DE3771">
        <w:rPr>
          <w:b/>
          <w:bCs/>
        </w:rPr>
        <w:t>Rozstrzyganie sporów</w:t>
      </w:r>
    </w:p>
    <w:p w:rsidR="00DE3771" w:rsidRPr="00DE3771" w:rsidRDefault="00DE3771" w:rsidP="00D8498A">
      <w:pPr>
        <w:numPr>
          <w:ilvl w:val="0"/>
          <w:numId w:val="18"/>
        </w:numPr>
        <w:tabs>
          <w:tab w:val="clear" w:pos="360"/>
        </w:tabs>
        <w:jc w:val="both"/>
      </w:pPr>
      <w:r w:rsidRPr="00DE3771">
        <w:t>Wszelkie spory, jakie mogą wynikać pomiędzy stronami w związku z realizacją postanowień niniejszej Umowy, będą rozwiązywane polubownie.</w:t>
      </w:r>
    </w:p>
    <w:p w:rsidR="00DE3771" w:rsidRPr="00DE3771" w:rsidRDefault="00DE3771" w:rsidP="00D8498A">
      <w:pPr>
        <w:numPr>
          <w:ilvl w:val="0"/>
          <w:numId w:val="18"/>
        </w:numPr>
        <w:tabs>
          <w:tab w:val="clear" w:pos="360"/>
        </w:tabs>
        <w:jc w:val="both"/>
        <w:rPr>
          <w:b/>
        </w:rPr>
      </w:pPr>
      <w:r w:rsidRPr="00DE3771">
        <w:t>W razie braku możliwości porozumienia się stron w terminie dłuższym niż 30 dni, spór poddany zostanie rozstrzygnięciu przez Sąd właściwy miejscowo dla siedziby Zamawiającego.</w:t>
      </w:r>
    </w:p>
    <w:p w:rsidR="00DE3771" w:rsidRPr="00DE3771" w:rsidRDefault="00DE3771" w:rsidP="00D8498A">
      <w:pPr>
        <w:jc w:val="both"/>
        <w:rPr>
          <w:b/>
        </w:rPr>
      </w:pPr>
    </w:p>
    <w:p w:rsidR="00DE3771" w:rsidRPr="00DE3771" w:rsidRDefault="00DE3771" w:rsidP="0069655F">
      <w:pPr>
        <w:jc w:val="center"/>
        <w:rPr>
          <w:b/>
          <w:bCs/>
        </w:rPr>
      </w:pPr>
      <w:r w:rsidRPr="00DE3771">
        <w:rPr>
          <w:b/>
          <w:bCs/>
        </w:rPr>
        <w:t>§ 15</w:t>
      </w:r>
    </w:p>
    <w:p w:rsidR="00DE3771" w:rsidRDefault="0069655F" w:rsidP="0069655F">
      <w:pPr>
        <w:ind w:left="720"/>
        <w:jc w:val="center"/>
        <w:rPr>
          <w:b/>
          <w:bCs/>
        </w:rPr>
      </w:pPr>
      <w:r>
        <w:rPr>
          <w:b/>
          <w:bCs/>
        </w:rPr>
        <w:t>W</w:t>
      </w:r>
      <w:r w:rsidRPr="00DE3771">
        <w:rPr>
          <w:b/>
          <w:bCs/>
        </w:rPr>
        <w:t>ykonawcy działający w formie towarzystw</w:t>
      </w:r>
      <w:r>
        <w:rPr>
          <w:b/>
          <w:bCs/>
        </w:rPr>
        <w:t xml:space="preserve">a </w:t>
      </w:r>
      <w:r w:rsidRPr="00DE3771">
        <w:rPr>
          <w:b/>
          <w:bCs/>
        </w:rPr>
        <w:t>ubezpieczeń wzajemnych</w:t>
      </w:r>
    </w:p>
    <w:p w:rsidR="0069655F" w:rsidRPr="0069655F" w:rsidRDefault="0069655F" w:rsidP="0069655F">
      <w:pPr>
        <w:ind w:left="720"/>
        <w:jc w:val="center"/>
        <w:rPr>
          <w:b/>
          <w:bCs/>
        </w:rPr>
      </w:pPr>
      <w:r>
        <w:rPr>
          <w:b/>
          <w:bCs/>
        </w:rPr>
        <w:t xml:space="preserve">( </w:t>
      </w:r>
      <w:r w:rsidRPr="0069655F">
        <w:rPr>
          <w:b/>
          <w:bCs/>
        </w:rPr>
        <w:t>zapis warunkowy – obowiązuje tylko w przypadku udzielenia zamówienia publicznego Wykonawcy,</w:t>
      </w:r>
      <w:r>
        <w:rPr>
          <w:b/>
          <w:bCs/>
        </w:rPr>
        <w:t xml:space="preserve"> który działa w formie towarzystwa ubezpieczeń wzajemnych</w:t>
      </w:r>
      <w:r w:rsidRPr="0069655F">
        <w:rPr>
          <w:b/>
          <w:bCs/>
        </w:rPr>
        <w:t>)</w:t>
      </w:r>
    </w:p>
    <w:p w:rsidR="0069655F" w:rsidRPr="00DE3771" w:rsidRDefault="0069655F" w:rsidP="0069655F">
      <w:pPr>
        <w:ind w:left="720"/>
        <w:jc w:val="center"/>
      </w:pPr>
    </w:p>
    <w:p w:rsidR="00DE3771" w:rsidRPr="00DE3771" w:rsidRDefault="00DE3771" w:rsidP="00D8498A">
      <w:pPr>
        <w:numPr>
          <w:ilvl w:val="0"/>
          <w:numId w:val="24"/>
        </w:numPr>
        <w:jc w:val="both"/>
      </w:pPr>
      <w:r w:rsidRPr="00DE3771">
        <w:t>Zamawiający wymaga aby Wykonawcy działający w formie towarzystwa ubezpieczeń wzajemnych posiadali w statucie zapis, z którego wynika, że towarzystwo będzie ubezpieczało także podmioty nie będące członkami towarzystwa. Zamawiający będzie traktowany jako podmiot nie będący członkiem towarzystwa, a co za tym idzie nie będzie zobowiązany do udziału w pokrywaniu strat towarzystw</w:t>
      </w:r>
      <w:r w:rsidR="00140D92">
        <w:t>a przez wnoszenie dodatkowej skł</w:t>
      </w:r>
      <w:r w:rsidRPr="00DE3771">
        <w:t>adki zgodnie z art. 44 ust. 2 Ustawy o działalności ubezpieczeniowej (Dz. U. 2013 r. poz. 950).</w:t>
      </w:r>
    </w:p>
    <w:p w:rsidR="00DE3771" w:rsidRPr="00DE3771" w:rsidRDefault="00DE3771" w:rsidP="00D8498A">
      <w:pPr>
        <w:jc w:val="both"/>
        <w:rPr>
          <w:b/>
          <w:bCs/>
        </w:rPr>
      </w:pPr>
    </w:p>
    <w:p w:rsidR="00DE3771" w:rsidRPr="00DE3771" w:rsidRDefault="00DE3771" w:rsidP="00140D92">
      <w:pPr>
        <w:jc w:val="center"/>
        <w:rPr>
          <w:b/>
          <w:bCs/>
        </w:rPr>
      </w:pPr>
      <w:r w:rsidRPr="00DE3771">
        <w:rPr>
          <w:b/>
          <w:bCs/>
        </w:rPr>
        <w:t>§ 16</w:t>
      </w:r>
    </w:p>
    <w:p w:rsidR="00DE3771" w:rsidRPr="00DE3771" w:rsidRDefault="00DE3771" w:rsidP="00140D92">
      <w:pPr>
        <w:jc w:val="center"/>
        <w:rPr>
          <w:b/>
          <w:bCs/>
        </w:rPr>
      </w:pPr>
      <w:r w:rsidRPr="00DE3771">
        <w:rPr>
          <w:b/>
          <w:bCs/>
        </w:rPr>
        <w:t>Wykonawcy, którym wspólnie udzielono zamówienie publiczne – konsorcjum</w:t>
      </w:r>
    </w:p>
    <w:p w:rsidR="00DE3771" w:rsidRPr="00DE3771" w:rsidRDefault="00DE3771" w:rsidP="00140D92">
      <w:pPr>
        <w:jc w:val="center"/>
      </w:pPr>
      <w:r w:rsidRPr="00DE3771">
        <w:rPr>
          <w:b/>
          <w:bCs/>
        </w:rPr>
        <w:t>(zapis warunkowy – obowiązuje tylko w przypadku udzielenia za</w:t>
      </w:r>
      <w:r w:rsidR="00140D92">
        <w:rPr>
          <w:b/>
          <w:bCs/>
        </w:rPr>
        <w:t xml:space="preserve">mówienia publicznego Wykonawcy, </w:t>
      </w:r>
      <w:r w:rsidRPr="00DE3771">
        <w:rPr>
          <w:b/>
          <w:bCs/>
        </w:rPr>
        <w:t>który ubiegał się o zamówienie wspólnie tworząc konsorcjum)</w:t>
      </w:r>
    </w:p>
    <w:p w:rsidR="00DE3771" w:rsidRPr="00DE3771" w:rsidRDefault="00DE3771" w:rsidP="00D8498A">
      <w:pPr>
        <w:numPr>
          <w:ilvl w:val="0"/>
          <w:numId w:val="20"/>
        </w:numPr>
        <w:tabs>
          <w:tab w:val="clear" w:pos="360"/>
        </w:tabs>
        <w:jc w:val="both"/>
      </w:pPr>
      <w:r w:rsidRPr="00DE3771">
        <w:t>Zamawiający wymaga, aby Wykonawcy występujący wspólnie do realizacji Umowy tworzyli Konsorcjum zawiązane na cały okres trwania Umowy. Konsorcjum jest stroną Umowy do czasu, gdy przynajmniej jeden z Konsorcjantów spełnia wymogi postawione przez Zamawiającego.</w:t>
      </w:r>
    </w:p>
    <w:p w:rsidR="00DE3771" w:rsidRPr="00DE3771" w:rsidRDefault="00DE3771" w:rsidP="00D8498A">
      <w:pPr>
        <w:numPr>
          <w:ilvl w:val="0"/>
          <w:numId w:val="20"/>
        </w:numPr>
        <w:tabs>
          <w:tab w:val="clear" w:pos="360"/>
        </w:tabs>
        <w:jc w:val="both"/>
        <w:rPr>
          <w:b/>
        </w:rPr>
      </w:pPr>
      <w:r w:rsidRPr="00DE3771">
        <w:t xml:space="preserve">Wykonawcy tworzący konsorcjum, którym wspólnie udzielono zamówienie publiczne, zwani dalej </w:t>
      </w:r>
      <w:proofErr w:type="spellStart"/>
      <w:r w:rsidRPr="00DE3771">
        <w:t>Koasekuratorami</w:t>
      </w:r>
      <w:proofErr w:type="spellEnd"/>
      <w:r w:rsidRPr="00DE3771">
        <w:t xml:space="preserve">, zobowiązani są wskazać spośród siebie </w:t>
      </w:r>
      <w:proofErr w:type="spellStart"/>
      <w:r w:rsidRPr="00DE3771">
        <w:t>Koasekuratora</w:t>
      </w:r>
      <w:proofErr w:type="spellEnd"/>
      <w:r w:rsidRPr="00DE3771">
        <w:t xml:space="preserve"> Wiodącego powołanego na cały okres realizacji Umowy, uprawnionego do reprezentowania wszystkich </w:t>
      </w:r>
      <w:proofErr w:type="spellStart"/>
      <w:r w:rsidRPr="00DE3771">
        <w:t>Koasekuratorów</w:t>
      </w:r>
      <w:proofErr w:type="spellEnd"/>
      <w:r w:rsidRPr="00DE3771">
        <w:t xml:space="preserve"> wobec Zamawiającego, w szczególności w zakresie zawarcia i wykonywania Umowy.</w:t>
      </w:r>
    </w:p>
    <w:p w:rsidR="00DE3771" w:rsidRPr="00DE3771" w:rsidRDefault="00DE3771" w:rsidP="00D8498A">
      <w:pPr>
        <w:numPr>
          <w:ilvl w:val="0"/>
          <w:numId w:val="20"/>
        </w:numPr>
        <w:tabs>
          <w:tab w:val="clear" w:pos="360"/>
        </w:tabs>
        <w:jc w:val="both"/>
        <w:rPr>
          <w:b/>
        </w:rPr>
      </w:pPr>
      <w:r w:rsidRPr="00DE3771">
        <w:t xml:space="preserve">Stanowisko </w:t>
      </w:r>
      <w:proofErr w:type="spellStart"/>
      <w:r w:rsidRPr="00DE3771">
        <w:t>Koasekuratora</w:t>
      </w:r>
      <w:proofErr w:type="spellEnd"/>
      <w:r w:rsidRPr="00DE3771">
        <w:t xml:space="preserve"> Wiodącego, w szczególności o uznaniu lub odmowie uznania roszczeń o odszkodowań wywiera skutki prawne dla pozostałych </w:t>
      </w:r>
      <w:proofErr w:type="spellStart"/>
      <w:r w:rsidRPr="00DE3771">
        <w:t>Koasekuratorów</w:t>
      </w:r>
      <w:proofErr w:type="spellEnd"/>
      <w:r w:rsidRPr="00DE3771">
        <w:t>.</w:t>
      </w:r>
    </w:p>
    <w:p w:rsidR="00DE3771" w:rsidRPr="00DE3771" w:rsidRDefault="00DE3771" w:rsidP="00D8498A">
      <w:pPr>
        <w:numPr>
          <w:ilvl w:val="0"/>
          <w:numId w:val="20"/>
        </w:numPr>
        <w:tabs>
          <w:tab w:val="clear" w:pos="360"/>
        </w:tabs>
        <w:jc w:val="both"/>
        <w:rPr>
          <w:b/>
        </w:rPr>
      </w:pPr>
      <w:r w:rsidRPr="00DE3771">
        <w:t xml:space="preserve">Zapłata składki ubezpieczeniowej nastąpi na konto bankowe wskazane Zamawiającemu przez </w:t>
      </w:r>
      <w:proofErr w:type="spellStart"/>
      <w:r w:rsidRPr="00DE3771">
        <w:t>Koasekuratora</w:t>
      </w:r>
      <w:proofErr w:type="spellEnd"/>
      <w:r w:rsidRPr="00DE3771">
        <w:t xml:space="preserve"> Wiodącego. Zapłata składki ubezpieczeniowej </w:t>
      </w:r>
      <w:proofErr w:type="spellStart"/>
      <w:r w:rsidRPr="00DE3771">
        <w:t>Koasekuratorowi</w:t>
      </w:r>
      <w:proofErr w:type="spellEnd"/>
      <w:r w:rsidRPr="00DE3771">
        <w:t xml:space="preserve"> Wiodącemu powoduje wygaśnięcie zobowiązania Zamawiającego wobec wszystkich </w:t>
      </w:r>
      <w:proofErr w:type="spellStart"/>
      <w:r w:rsidRPr="00DE3771">
        <w:t>Koasekuratorów</w:t>
      </w:r>
      <w:proofErr w:type="spellEnd"/>
      <w:r w:rsidRPr="00DE3771">
        <w:t>.</w:t>
      </w:r>
    </w:p>
    <w:p w:rsidR="00DE3771" w:rsidRPr="00DE3771" w:rsidRDefault="00DE3771" w:rsidP="00D8498A">
      <w:pPr>
        <w:numPr>
          <w:ilvl w:val="0"/>
          <w:numId w:val="20"/>
        </w:numPr>
        <w:tabs>
          <w:tab w:val="clear" w:pos="360"/>
        </w:tabs>
        <w:jc w:val="both"/>
        <w:rPr>
          <w:b/>
        </w:rPr>
      </w:pPr>
      <w:r w:rsidRPr="00DE3771">
        <w:t xml:space="preserve">Dla celów Umowy, gdziekolwiek w dokumencie ubezpieczenia lub ogólnych warunkach ubezpieczenia, mających zastosowanie do Umowy Generalnej Ubezpieczenia użyty jest zwrot „Ubezpieczyciel”, zapis taki będzie rozumiany jako odnoszący się do wszystkich </w:t>
      </w:r>
      <w:proofErr w:type="spellStart"/>
      <w:r w:rsidRPr="00DE3771">
        <w:t>Koasekuratorów</w:t>
      </w:r>
      <w:proofErr w:type="spellEnd"/>
      <w:r w:rsidRPr="00DE3771">
        <w:t>.</w:t>
      </w:r>
    </w:p>
    <w:p w:rsidR="00DE3771" w:rsidRPr="00DE3771" w:rsidRDefault="00DE3771" w:rsidP="00D8498A">
      <w:pPr>
        <w:jc w:val="both"/>
        <w:rPr>
          <w:b/>
          <w:bCs/>
        </w:rPr>
      </w:pPr>
    </w:p>
    <w:p w:rsidR="00DE3771" w:rsidRPr="00DE3771" w:rsidRDefault="00DE3771" w:rsidP="00140D92">
      <w:pPr>
        <w:jc w:val="center"/>
        <w:rPr>
          <w:b/>
          <w:bCs/>
        </w:rPr>
      </w:pPr>
      <w:r w:rsidRPr="00DE3771">
        <w:rPr>
          <w:b/>
          <w:bCs/>
        </w:rPr>
        <w:t>§ 17</w:t>
      </w:r>
    </w:p>
    <w:p w:rsidR="00DE3771" w:rsidRPr="00DE3771" w:rsidRDefault="00DE3771" w:rsidP="00140D92">
      <w:pPr>
        <w:jc w:val="center"/>
      </w:pPr>
      <w:r w:rsidRPr="00DE3771">
        <w:rPr>
          <w:b/>
          <w:bCs/>
        </w:rPr>
        <w:t>Postanowienia końcowe</w:t>
      </w:r>
    </w:p>
    <w:p w:rsidR="00DE3771" w:rsidRPr="00DE3771" w:rsidRDefault="00DE3771" w:rsidP="00D8498A">
      <w:pPr>
        <w:numPr>
          <w:ilvl w:val="1"/>
          <w:numId w:val="19"/>
        </w:numPr>
        <w:jc w:val="both"/>
      </w:pPr>
      <w:r w:rsidRPr="00DE3771">
        <w:t>W sprawach nieuregulowanych postanowieniami Umowy mają zastosowanie w szczególności:</w:t>
      </w:r>
    </w:p>
    <w:p w:rsidR="00DE3771" w:rsidRPr="00DE3771" w:rsidRDefault="00DE3771" w:rsidP="00D8498A">
      <w:pPr>
        <w:numPr>
          <w:ilvl w:val="1"/>
          <w:numId w:val="7"/>
        </w:numPr>
        <w:jc w:val="both"/>
      </w:pPr>
      <w:r w:rsidRPr="00DE3771">
        <w:t>przepisy ustawy z dnia 23 kwietnia 1964 r. Kodeks cywilny (tekst jedn. Dz. U. z 2014 r., poz. 121);</w:t>
      </w:r>
    </w:p>
    <w:p w:rsidR="00DE3771" w:rsidRPr="00DE3771" w:rsidRDefault="00DE3771" w:rsidP="00D8498A">
      <w:pPr>
        <w:numPr>
          <w:ilvl w:val="1"/>
          <w:numId w:val="7"/>
        </w:numPr>
        <w:jc w:val="both"/>
      </w:pPr>
      <w:r w:rsidRPr="00DE3771">
        <w:t>przepisy ustawy Prawo zamówień Publicznych (tekst jedn. Dz. U. z 2013 r. poz. 907 ze zm.);</w:t>
      </w:r>
    </w:p>
    <w:p w:rsidR="00DE3771" w:rsidRPr="00DE3771" w:rsidRDefault="00DE3771" w:rsidP="00D8498A">
      <w:pPr>
        <w:numPr>
          <w:ilvl w:val="1"/>
          <w:numId w:val="7"/>
        </w:numPr>
        <w:jc w:val="both"/>
        <w:rPr>
          <w:bCs/>
        </w:rPr>
      </w:pPr>
      <w:r w:rsidRPr="00DE3771">
        <w:t xml:space="preserve"> przepisy ustawy z dnia 22 maja 2003 r. o działalności ubezpieczeniowej (tekst jedn. Dz. U. z 2013 r., poz. 950 ze zm.).</w:t>
      </w:r>
    </w:p>
    <w:p w:rsidR="00DE3771" w:rsidRPr="00DE3771" w:rsidRDefault="00DE3771" w:rsidP="00D8498A">
      <w:pPr>
        <w:numPr>
          <w:ilvl w:val="0"/>
          <w:numId w:val="7"/>
        </w:numPr>
        <w:jc w:val="both"/>
      </w:pPr>
      <w:r w:rsidRPr="00DE3771">
        <w:rPr>
          <w:bCs/>
        </w:rPr>
        <w:t xml:space="preserve">Strony Umowy są zobowiązane do utrzymywania w tajemnicy wszelkich danych </w:t>
      </w:r>
      <w:r w:rsidRPr="00DE3771">
        <w:rPr>
          <w:bCs/>
        </w:rPr>
        <w:br/>
        <w:t>i informacji, jakie uzyskały w związku z realizacją Umowy bez względu na sposób i formę ich utrwalenia i przekazywania, zgodnie z obowiązującymi przepisami prawa, a w szczególności w zakresie danych osobowych i tajemnicy ubezpieczeniowej, z zastrzeżeniem postanowień ustawy z dnia 6 września 2001 r. o dostępie do informacji publicznej (Dz. U. z 2014, poz. 782).</w:t>
      </w:r>
    </w:p>
    <w:p w:rsidR="00DE3771" w:rsidRPr="00DE3771" w:rsidRDefault="00DE3771" w:rsidP="00D8498A">
      <w:pPr>
        <w:numPr>
          <w:ilvl w:val="0"/>
          <w:numId w:val="7"/>
        </w:numPr>
        <w:jc w:val="both"/>
      </w:pPr>
      <w:r w:rsidRPr="00DE3771">
        <w:t>W Umowie Generalnej Ubezpieczenia Zamawiający zwany jest Ubezpieczającym i/lub Ubezpieczonym,  natomiast Wykonawca zwany jest Ubezpieczycielem.</w:t>
      </w:r>
    </w:p>
    <w:p w:rsidR="00DE3771" w:rsidRPr="00DE3771" w:rsidRDefault="00DE3771" w:rsidP="00D8498A">
      <w:pPr>
        <w:numPr>
          <w:ilvl w:val="0"/>
          <w:numId w:val="7"/>
        </w:numPr>
        <w:jc w:val="both"/>
      </w:pPr>
      <w:r w:rsidRPr="00DE3771">
        <w:t xml:space="preserve">Umowę o wykonanie sporządzono w dwóch jednobrzmiących egzemplarzach, po jednym dla każdej ze Stron. </w:t>
      </w:r>
    </w:p>
    <w:p w:rsidR="00DE3771" w:rsidRPr="00DE3771" w:rsidRDefault="00DE3771" w:rsidP="00D8498A">
      <w:pPr>
        <w:numPr>
          <w:ilvl w:val="0"/>
          <w:numId w:val="7"/>
        </w:numPr>
        <w:jc w:val="both"/>
      </w:pPr>
      <w:r w:rsidRPr="00DE3771">
        <w:t>Integralną część Umowy stanowią:</w:t>
      </w:r>
    </w:p>
    <w:p w:rsidR="00DE3771" w:rsidRPr="00DE3771" w:rsidRDefault="00DE3771" w:rsidP="00D8498A">
      <w:pPr>
        <w:numPr>
          <w:ilvl w:val="1"/>
          <w:numId w:val="11"/>
        </w:numPr>
        <w:jc w:val="both"/>
      </w:pPr>
      <w:r w:rsidRPr="00DE3771">
        <w:t>Załącznik nr 1 – Umowa Generalna Ubezpieczenia;</w:t>
      </w:r>
    </w:p>
    <w:p w:rsidR="00DE3771" w:rsidRPr="00DE3771" w:rsidRDefault="00DE3771" w:rsidP="00D8498A">
      <w:pPr>
        <w:numPr>
          <w:ilvl w:val="1"/>
          <w:numId w:val="11"/>
        </w:numPr>
        <w:jc w:val="both"/>
      </w:pPr>
      <w:r w:rsidRPr="00DE3771">
        <w:t>Załącznik nr 2 – Procedura Realizacji Umowy Generalnej Ubezpieczenia;</w:t>
      </w:r>
    </w:p>
    <w:p w:rsidR="00DE3771" w:rsidRPr="00DE3771" w:rsidRDefault="00DE3771" w:rsidP="00D8498A">
      <w:pPr>
        <w:numPr>
          <w:ilvl w:val="1"/>
          <w:numId w:val="11"/>
        </w:numPr>
        <w:jc w:val="both"/>
      </w:pPr>
      <w:r w:rsidRPr="00DE3771">
        <w:t>Załącznik nr 3 – ogólne warunki ubezpieczenia;</w:t>
      </w:r>
    </w:p>
    <w:p w:rsidR="00DE3771" w:rsidRDefault="00DE3771" w:rsidP="00D8498A">
      <w:pPr>
        <w:numPr>
          <w:ilvl w:val="1"/>
          <w:numId w:val="11"/>
        </w:numPr>
        <w:jc w:val="both"/>
      </w:pPr>
      <w:r w:rsidRPr="00DE3771">
        <w:t>Załącznik nr 4 – kserokopie oferty wraz z formularzem cenowym – szczegółowa kalkulacja oferowanej ceny – poświadczone za zgodność z oryginałem i podpisane przez każdą ze stron.</w:t>
      </w:r>
    </w:p>
    <w:p w:rsidR="00C25686" w:rsidRPr="00FC7F6F" w:rsidRDefault="00C25686" w:rsidP="00D8498A">
      <w:pPr>
        <w:numPr>
          <w:ilvl w:val="1"/>
          <w:numId w:val="11"/>
        </w:numPr>
        <w:jc w:val="both"/>
      </w:pPr>
      <w:r>
        <w:t>Załącznik nr 5 – Umowa konsorcjum</w:t>
      </w:r>
      <w:r w:rsidR="00806736">
        <w:t xml:space="preserve"> </w:t>
      </w:r>
      <w:r w:rsidR="00806736">
        <w:t>(jeżeli dotyczy)</w:t>
      </w:r>
      <w:r w:rsidR="00806736">
        <w:t>.</w:t>
      </w:r>
    </w:p>
    <w:p w:rsidR="00E87626" w:rsidRPr="00FC7F6F" w:rsidRDefault="00DE3771" w:rsidP="00C25686">
      <w:pPr>
        <w:jc w:val="center"/>
        <w:rPr>
          <w:b/>
        </w:rPr>
      </w:pPr>
      <w:r w:rsidRPr="00DE3771">
        <w:rPr>
          <w:b/>
        </w:rPr>
        <w:t>Wykonawca</w:t>
      </w:r>
      <w:r w:rsidRPr="00DE3771">
        <w:rPr>
          <w:b/>
        </w:rPr>
        <w:tab/>
      </w:r>
      <w:r w:rsidRPr="00DE3771">
        <w:rPr>
          <w:b/>
        </w:rPr>
        <w:tab/>
      </w:r>
      <w:r w:rsidRPr="00DE3771">
        <w:rPr>
          <w:b/>
        </w:rPr>
        <w:tab/>
      </w:r>
      <w:r w:rsidRPr="00DE3771">
        <w:rPr>
          <w:b/>
        </w:rPr>
        <w:tab/>
      </w:r>
      <w:r w:rsidRPr="00DE3771">
        <w:rPr>
          <w:b/>
        </w:rPr>
        <w:tab/>
      </w:r>
      <w:r w:rsidRPr="00DE3771">
        <w:rPr>
          <w:b/>
        </w:rPr>
        <w:tab/>
        <w:t>Zamawiający</w:t>
      </w:r>
    </w:p>
    <w:sectPr w:rsidR="00E87626" w:rsidRPr="00FC7F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2B" w:rsidRDefault="00AD052B" w:rsidP="00AD052B">
      <w:pPr>
        <w:spacing w:after="0" w:line="240" w:lineRule="auto"/>
      </w:pPr>
      <w:r>
        <w:separator/>
      </w:r>
    </w:p>
  </w:endnote>
  <w:endnote w:type="continuationSeparator" w:id="0">
    <w:p w:rsidR="00AD052B" w:rsidRDefault="00AD052B" w:rsidP="00AD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2B" w:rsidRDefault="00AD052B" w:rsidP="00AD052B">
      <w:pPr>
        <w:spacing w:after="0" w:line="240" w:lineRule="auto"/>
      </w:pPr>
      <w:r>
        <w:separator/>
      </w:r>
    </w:p>
  </w:footnote>
  <w:footnote w:type="continuationSeparator" w:id="0">
    <w:p w:rsidR="00AD052B" w:rsidRDefault="00AD052B" w:rsidP="00AD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0664"/>
      <w:docPartObj>
        <w:docPartGallery w:val="Page Numbers (Margins)"/>
        <w:docPartUnique/>
      </w:docPartObj>
    </w:sdtPr>
    <w:sdtContent>
      <w:p w:rsidR="00AD052B" w:rsidRDefault="00AD052B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52B" w:rsidRDefault="00AD052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AD052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AD052B" w:rsidRDefault="00AD052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AD052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7CEAB1DC"/>
    <w:name w:val="WW8Num49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Arial Unicode MS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4"/>
    <w:multiLevelType w:val="multilevel"/>
    <w:tmpl w:val="00000014"/>
    <w:name w:val="WW8Num56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17"/>
    <w:multiLevelType w:val="multilevel"/>
    <w:tmpl w:val="D1B0F954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1F"/>
    <w:multiLevelType w:val="singleLevel"/>
    <w:tmpl w:val="0000001F"/>
    <w:name w:val="WW8Num68"/>
    <w:lvl w:ilvl="0">
      <w:start w:val="1"/>
      <w:numFmt w:val="decimal"/>
      <w:lvlText w:val="1.%1"/>
      <w:lvlJc w:val="left"/>
      <w:pPr>
        <w:tabs>
          <w:tab w:val="num" w:pos="0"/>
        </w:tabs>
        <w:ind w:left="607" w:hanging="360"/>
      </w:pPr>
      <w:rPr>
        <w:rFonts w:hint="default"/>
      </w:rPr>
    </w:lvl>
  </w:abstractNum>
  <w:abstractNum w:abstractNumId="4" w15:restartNumberingAfterBreak="0">
    <w:nsid w:val="00000027"/>
    <w:multiLevelType w:val="singleLevel"/>
    <w:tmpl w:val="66B0ED54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auto"/>
        <w:sz w:val="20"/>
        <w:szCs w:val="20"/>
      </w:rPr>
    </w:lvl>
  </w:abstractNum>
  <w:abstractNum w:abstractNumId="5" w15:restartNumberingAfterBreak="0">
    <w:nsid w:val="00000030"/>
    <w:multiLevelType w:val="singleLevel"/>
    <w:tmpl w:val="86ECB370"/>
    <w:name w:val="WW8Num87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</w:rPr>
    </w:lvl>
  </w:abstractNum>
  <w:abstractNum w:abstractNumId="6" w15:restartNumberingAfterBreak="0">
    <w:nsid w:val="00000036"/>
    <w:multiLevelType w:val="multilevel"/>
    <w:tmpl w:val="00000036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eastAsia="Arial Unicode MS" w:hint="default"/>
      </w:rPr>
    </w:lvl>
  </w:abstractNum>
  <w:abstractNum w:abstractNumId="7" w15:restartNumberingAfterBreak="0">
    <w:nsid w:val="0000003D"/>
    <w:multiLevelType w:val="multilevel"/>
    <w:tmpl w:val="0000003D"/>
    <w:name w:val="WW8Num101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4B"/>
    <w:multiLevelType w:val="multilevel"/>
    <w:tmpl w:val="D05C0AC8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/>
        <w:b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Calibri" w:hAnsi="Calibri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Arial"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28" w:hanging="144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9" w:hanging="216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cs="Arial" w:hint="default"/>
        <w:color w:val="FF0000"/>
      </w:rPr>
    </w:lvl>
  </w:abstractNum>
  <w:abstractNum w:abstractNumId="9" w15:restartNumberingAfterBreak="0">
    <w:nsid w:val="00000056"/>
    <w:multiLevelType w:val="multilevel"/>
    <w:tmpl w:val="00000056"/>
    <w:name w:val="WW8Num126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ascii="Calibri" w:eastAsia="Arial Unicode MS" w:hAnsi="Calibri" w:cs="Arial Unicode MS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0000058"/>
    <w:multiLevelType w:val="multilevel"/>
    <w:tmpl w:val="00000058"/>
    <w:name w:val="WW8Num12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11" w15:restartNumberingAfterBreak="0">
    <w:nsid w:val="00000062"/>
    <w:multiLevelType w:val="multilevel"/>
    <w:tmpl w:val="0000006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63"/>
    <w:multiLevelType w:val="multilevel"/>
    <w:tmpl w:val="000000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64"/>
    <w:multiLevelType w:val="multilevel"/>
    <w:tmpl w:val="4C1AE7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Arial Unicode MS" w:hAnsi="Calibri" w:cs="Calibri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60" w:hanging="72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44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80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0" w:hanging="216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ascii="Calibri" w:hAnsi="Calibri" w:cs="Calibri" w:hint="default"/>
        <w:sz w:val="20"/>
        <w:szCs w:val="20"/>
      </w:rPr>
    </w:lvl>
  </w:abstractNum>
  <w:abstractNum w:abstractNumId="14" w15:restartNumberingAfterBreak="0">
    <w:nsid w:val="00000065"/>
    <w:multiLevelType w:val="multilevel"/>
    <w:tmpl w:val="000000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Calibri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ascii="Verdana" w:hAnsi="Verdana" w:cs="Verdana"/>
        <w:strike w:val="0"/>
        <w:d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66"/>
    <w:multiLevelType w:val="multilevel"/>
    <w:tmpl w:val="E82C674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00000069"/>
    <w:multiLevelType w:val="multilevel"/>
    <w:tmpl w:val="558AE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6A"/>
    <w:multiLevelType w:val="multilevel"/>
    <w:tmpl w:val="0000006A"/>
    <w:lvl w:ilvl="0">
      <w:start w:val="1"/>
      <w:numFmt w:val="decimal"/>
      <w:lvlText w:val="%1."/>
      <w:lvlJc w:val="left"/>
      <w:pPr>
        <w:tabs>
          <w:tab w:val="num" w:pos="1776"/>
        </w:tabs>
        <w:ind w:left="1360" w:firstLine="56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30C19BE"/>
    <w:multiLevelType w:val="multilevel"/>
    <w:tmpl w:val="E396A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0B9F7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0C5055"/>
    <w:multiLevelType w:val="multilevel"/>
    <w:tmpl w:val="0DBC6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1D1727AB"/>
    <w:multiLevelType w:val="hybridMultilevel"/>
    <w:tmpl w:val="1162232A"/>
    <w:lvl w:ilvl="0" w:tplc="013CBDCE">
      <w:start w:val="1"/>
      <w:numFmt w:val="ordinal"/>
      <w:lvlText w:val="%12.2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57FED"/>
    <w:multiLevelType w:val="hybridMultilevel"/>
    <w:tmpl w:val="16CC0558"/>
    <w:lvl w:ilvl="0" w:tplc="522249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0231921"/>
    <w:multiLevelType w:val="multilevel"/>
    <w:tmpl w:val="51488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7D34787E"/>
    <w:multiLevelType w:val="hybridMultilevel"/>
    <w:tmpl w:val="957EADDA"/>
    <w:lvl w:ilvl="0" w:tplc="66B0ED5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4"/>
  </w:num>
  <w:num w:numId="21">
    <w:abstractNumId w:val="19"/>
  </w:num>
  <w:num w:numId="22">
    <w:abstractNumId w:val="21"/>
  </w:num>
  <w:num w:numId="23">
    <w:abstractNumId w:val="22"/>
  </w:num>
  <w:num w:numId="24">
    <w:abstractNumId w:val="25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1"/>
    <w:rsid w:val="00031558"/>
    <w:rsid w:val="000745A8"/>
    <w:rsid w:val="00140D92"/>
    <w:rsid w:val="00367FAD"/>
    <w:rsid w:val="003A63A7"/>
    <w:rsid w:val="004C34A1"/>
    <w:rsid w:val="00541607"/>
    <w:rsid w:val="00696093"/>
    <w:rsid w:val="0069655F"/>
    <w:rsid w:val="007F0474"/>
    <w:rsid w:val="007F3F97"/>
    <w:rsid w:val="00806736"/>
    <w:rsid w:val="008A0137"/>
    <w:rsid w:val="0097326A"/>
    <w:rsid w:val="009A4EC4"/>
    <w:rsid w:val="00A53C96"/>
    <w:rsid w:val="00AD052B"/>
    <w:rsid w:val="00B556FA"/>
    <w:rsid w:val="00C25686"/>
    <w:rsid w:val="00D8498A"/>
    <w:rsid w:val="00D87959"/>
    <w:rsid w:val="00DE3771"/>
    <w:rsid w:val="00E87626"/>
    <w:rsid w:val="00FB295C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70AE3C-493D-4C94-AC3E-31485819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52B"/>
  </w:style>
  <w:style w:type="paragraph" w:styleId="Stopka">
    <w:name w:val="footer"/>
    <w:basedOn w:val="Normalny"/>
    <w:link w:val="StopkaZnak"/>
    <w:uiPriority w:val="99"/>
    <w:unhideWhenUsed/>
    <w:rsid w:val="00AD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3646</Words>
  <Characters>21879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Szepniewska</dc:creator>
  <cp:keywords/>
  <dc:description/>
  <cp:lastModifiedBy>Magdalena Wojtczak</cp:lastModifiedBy>
  <cp:revision>7</cp:revision>
  <dcterms:created xsi:type="dcterms:W3CDTF">2015-10-05T11:13:00Z</dcterms:created>
  <dcterms:modified xsi:type="dcterms:W3CDTF">2015-10-19T08:29:00Z</dcterms:modified>
</cp:coreProperties>
</file>