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30" w:rsidRDefault="00AA74E9" w:rsidP="00FF3630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5356860</wp:posOffset>
            </wp:positionH>
            <wp:positionV relativeFrom="margin">
              <wp:posOffset>-238125</wp:posOffset>
            </wp:positionV>
            <wp:extent cx="365125" cy="786130"/>
            <wp:effectExtent l="19050" t="0" r="0" b="0"/>
            <wp:wrapNone/>
            <wp:docPr id="6" name="Obraz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3630">
        <w:rPr>
          <w:rFonts w:ascii="Microsoft Sans Serif" w:hAnsi="Microsoft Sans Serif" w:cs="Microsoft Sans Serif"/>
          <w:b/>
          <w:sz w:val="22"/>
          <w:szCs w:val="22"/>
        </w:rPr>
        <w:t>Wojewódzki Inspektorat Ochrony Roślin i Nasiennictwa w Łodzi</w:t>
      </w:r>
    </w:p>
    <w:p w:rsidR="00FF3630" w:rsidRDefault="00FF3630" w:rsidP="00FF3630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Oddział w Łasku</w:t>
      </w:r>
    </w:p>
    <w:p w:rsidR="00FF3630" w:rsidRDefault="00FF3630" w:rsidP="00FF3630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 xml:space="preserve">tel., fax. 43 675-25-87 </w:t>
      </w:r>
    </w:p>
    <w:p w:rsidR="00FF3630" w:rsidRDefault="00FF3630" w:rsidP="00FF3630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  <w:u w:val="single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 xml:space="preserve">e-mail: </w:t>
      </w:r>
      <w:r>
        <w:rPr>
          <w:rFonts w:ascii="Microsoft Sans Serif" w:hAnsi="Microsoft Sans Serif" w:cs="Microsoft Sans Serif"/>
          <w:b/>
          <w:sz w:val="22"/>
          <w:szCs w:val="22"/>
          <w:u w:val="single"/>
        </w:rPr>
        <w:t>o-lask@piorin.gov.pl</w:t>
      </w:r>
    </w:p>
    <w:p w:rsidR="00445DF4" w:rsidRDefault="00445DF4">
      <w:pPr>
        <w:jc w:val="center"/>
        <w:rPr>
          <w:rFonts w:ascii="Microsoft Sans Serif" w:hAnsi="Microsoft Sans Serif" w:cs="Microsoft Sans Serif"/>
          <w:b/>
          <w:sz w:val="22"/>
          <w:szCs w:val="22"/>
        </w:rPr>
      </w:pPr>
    </w:p>
    <w:p w:rsidR="00445DF4" w:rsidRDefault="00445DF4">
      <w:pPr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KOMUNIKAT O ZAGROŻENIU UPRAW ROŚLIN</w:t>
      </w:r>
    </w:p>
    <w:p w:rsidR="00445DF4" w:rsidRDefault="00445DF4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445DF4" w:rsidRDefault="00BC303F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4495165</wp:posOffset>
            </wp:positionH>
            <wp:positionV relativeFrom="margin">
              <wp:posOffset>1497965</wp:posOffset>
            </wp:positionV>
            <wp:extent cx="1419225" cy="1419225"/>
            <wp:effectExtent l="19050" t="0" r="9525" b="0"/>
            <wp:wrapSquare wrapText="bothSides"/>
            <wp:docPr id="5" name="Obraz 5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DF4" w:rsidRDefault="00445DF4">
      <w:pPr>
        <w:spacing w:line="480" w:lineRule="auto"/>
        <w:rPr>
          <w:rFonts w:ascii="Microsoft Sans Serif" w:hAnsi="Microsoft Sans Serif" w:cs="Microsoft Sans Serif"/>
          <w:b/>
          <w:i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Województwo:</w:t>
      </w:r>
      <w:r w:rsidR="00393DBD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214809">
        <w:rPr>
          <w:rFonts w:ascii="Microsoft Sans Serif" w:hAnsi="Microsoft Sans Serif" w:cs="Microsoft Sans Serif"/>
          <w:b/>
          <w:sz w:val="20"/>
          <w:szCs w:val="20"/>
        </w:rPr>
        <w:t>ł</w:t>
      </w:r>
      <w:r w:rsidR="00393DBD" w:rsidRPr="00393DBD">
        <w:rPr>
          <w:rFonts w:ascii="Microsoft Sans Serif" w:hAnsi="Microsoft Sans Serif" w:cs="Microsoft Sans Serif"/>
          <w:b/>
          <w:sz w:val="20"/>
          <w:szCs w:val="20"/>
        </w:rPr>
        <w:t>ódzkie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445DF4" w:rsidRDefault="00445DF4">
      <w:pPr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Powiat:</w:t>
      </w:r>
      <w:r w:rsidR="00393DBD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214809">
        <w:rPr>
          <w:rFonts w:ascii="Microsoft Sans Serif" w:hAnsi="Microsoft Sans Serif" w:cs="Microsoft Sans Serif"/>
          <w:b/>
          <w:sz w:val="20"/>
          <w:szCs w:val="20"/>
        </w:rPr>
        <w:t>ł</w:t>
      </w:r>
      <w:r w:rsidR="00393DBD">
        <w:rPr>
          <w:rFonts w:ascii="Microsoft Sans Serif" w:hAnsi="Microsoft Sans Serif" w:cs="Microsoft Sans Serif"/>
          <w:b/>
          <w:sz w:val="20"/>
          <w:szCs w:val="20"/>
        </w:rPr>
        <w:t>aski</w:t>
      </w:r>
      <w:r w:rsidR="00BC303F">
        <w:rPr>
          <w:rFonts w:ascii="Microsoft Sans Serif" w:hAnsi="Microsoft Sans Serif" w:cs="Microsoft Sans Serif"/>
          <w:b/>
          <w:sz w:val="20"/>
          <w:szCs w:val="20"/>
        </w:rPr>
        <w:t>, zduńskowolski</w:t>
      </w:r>
    </w:p>
    <w:p w:rsidR="00445DF4" w:rsidRDefault="00445DF4">
      <w:pPr>
        <w:spacing w:line="480" w:lineRule="auto"/>
        <w:rPr>
          <w:rFonts w:ascii="Microsoft Sans Serif" w:hAnsi="Microsoft Sans Serif" w:cs="Microsoft Sans Serif"/>
          <w:b/>
          <w:i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Agrofag: </w:t>
      </w:r>
      <w:r>
        <w:rPr>
          <w:rFonts w:ascii="Microsoft Sans Serif" w:hAnsi="Microsoft Sans Serif" w:cs="Microsoft Sans Serif"/>
          <w:b/>
          <w:sz w:val="20"/>
          <w:szCs w:val="20"/>
        </w:rPr>
        <w:t>Parch jabłoni</w:t>
      </w:r>
    </w:p>
    <w:p w:rsidR="00445DF4" w:rsidRDefault="00445DF4">
      <w:pPr>
        <w:spacing w:line="480" w:lineRule="auto"/>
        <w:rPr>
          <w:rFonts w:ascii="Microsoft Sans Serif" w:hAnsi="Microsoft Sans Serif" w:cs="Microsoft Sans Serif"/>
          <w:b/>
          <w:i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Roślina: </w:t>
      </w:r>
      <w:r>
        <w:rPr>
          <w:rFonts w:ascii="Microsoft Sans Serif" w:hAnsi="Microsoft Sans Serif" w:cs="Microsoft Sans Serif"/>
          <w:b/>
          <w:sz w:val="20"/>
          <w:szCs w:val="20"/>
        </w:rPr>
        <w:t>Jabłoń</w:t>
      </w:r>
    </w:p>
    <w:p w:rsidR="00445DF4" w:rsidRDefault="00445DF4">
      <w:pPr>
        <w:spacing w:line="480" w:lineRule="auto"/>
        <w:rPr>
          <w:rFonts w:ascii="Microsoft Sans Serif" w:hAnsi="Microsoft Sans Serif" w:cs="Microsoft Sans Serif"/>
          <w:b/>
          <w:i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Data publikacji komunikatu</w:t>
      </w:r>
      <w:r w:rsidR="00C96D93">
        <w:rPr>
          <w:rFonts w:ascii="Microsoft Sans Serif" w:hAnsi="Microsoft Sans Serif" w:cs="Microsoft Sans Serif"/>
          <w:sz w:val="20"/>
          <w:szCs w:val="20"/>
        </w:rPr>
        <w:t>: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BC303F">
        <w:rPr>
          <w:rFonts w:ascii="Microsoft Sans Serif" w:hAnsi="Microsoft Sans Serif" w:cs="Microsoft Sans Serif"/>
          <w:b/>
          <w:sz w:val="20"/>
          <w:szCs w:val="20"/>
        </w:rPr>
        <w:t>21.03</w:t>
      </w:r>
      <w:r w:rsidR="00393DBD" w:rsidRPr="00405C7F">
        <w:rPr>
          <w:rFonts w:ascii="Microsoft Sans Serif" w:hAnsi="Microsoft Sans Serif" w:cs="Microsoft Sans Serif"/>
          <w:b/>
          <w:sz w:val="20"/>
          <w:szCs w:val="20"/>
        </w:rPr>
        <w:t>.201</w:t>
      </w:r>
      <w:r w:rsidR="00BC303F">
        <w:rPr>
          <w:rFonts w:ascii="Microsoft Sans Serif" w:hAnsi="Microsoft Sans Serif" w:cs="Microsoft Sans Serif"/>
          <w:b/>
          <w:sz w:val="20"/>
          <w:szCs w:val="20"/>
        </w:rPr>
        <w:t>4</w:t>
      </w:r>
      <w:r w:rsidR="00393DBD" w:rsidRPr="00405C7F">
        <w:rPr>
          <w:rFonts w:ascii="Microsoft Sans Serif" w:hAnsi="Microsoft Sans Serif" w:cs="Microsoft Sans Serif"/>
          <w:b/>
          <w:sz w:val="20"/>
          <w:szCs w:val="20"/>
        </w:rPr>
        <w:t>r.</w:t>
      </w:r>
    </w:p>
    <w:p w:rsidR="00445DF4" w:rsidRDefault="00445DF4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Jabłoniom zagraża parch jabłoni.</w:t>
      </w:r>
    </w:p>
    <w:p w:rsidR="00445DF4" w:rsidRDefault="00445DF4">
      <w:pPr>
        <w:rPr>
          <w:rFonts w:ascii="Microsoft Sans Serif" w:hAnsi="Microsoft Sans Serif" w:cs="Microsoft Sans Serif"/>
          <w:sz w:val="20"/>
          <w:szCs w:val="20"/>
        </w:rPr>
      </w:pPr>
    </w:p>
    <w:p w:rsidR="00445DF4" w:rsidRDefault="00445DF4">
      <w:p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Decyzję o sposobie i terminie zwalczania parcha jabłoni należy podjąć po przeprowadzeniu obserwacji.</w:t>
      </w:r>
    </w:p>
    <w:p w:rsidR="00445DF4" w:rsidRDefault="00445DF4">
      <w:pPr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445DF4" w:rsidRDefault="00445DF4">
      <w:p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Parch jabłoni poraża wszystkie nadziemne niezdrewniałe organy jabłoni. Objawy choroby widoczne </w:t>
      </w:r>
      <w:r w:rsidR="007040F2">
        <w:rPr>
          <w:rFonts w:ascii="Microsoft Sans Serif" w:hAnsi="Microsoft Sans Serif" w:cs="Microsoft Sans Serif"/>
          <w:sz w:val="20"/>
          <w:szCs w:val="20"/>
        </w:rPr>
        <w:br/>
      </w:r>
      <w:r>
        <w:rPr>
          <w:rFonts w:ascii="Microsoft Sans Serif" w:hAnsi="Microsoft Sans Serif" w:cs="Microsoft Sans Serif"/>
          <w:sz w:val="20"/>
          <w:szCs w:val="20"/>
        </w:rPr>
        <w:t>są najczęściej na liściach i owocach. Rozwój grzyba przebiega w dwóch stadiach: konidialnym i workowym. Grzyb zimuje w postaci otoczni na opadłych porażonych liściach jabłoni.</w:t>
      </w:r>
    </w:p>
    <w:p w:rsidR="00445DF4" w:rsidRDefault="00445DF4">
      <w:p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W sprzyjających warunkach wilgotności i temperatury zarodniki wyrzucane są z otoczni i zakażają rośliny (infekcje pierwotne). W czasie sezonu wegetacyjnego grzyb rozprzestrzenia się za pomocą zarodników konidialnych (infekcje wtórne)).</w:t>
      </w:r>
    </w:p>
    <w:p w:rsidR="00445DF4" w:rsidRDefault="00445DF4">
      <w:pPr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445DF4" w:rsidRDefault="00445DF4">
      <w:p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W celu przeprowadzenia prawidłowej ochrony plantacji konieczne jest prawidłowe ustalenie tzw. okresów krytycznych – czyli takiego układu temperatury i czasu zwilżania liści, w którym przy obecności zarodników może dojść do infekcji tkanek rośliny. Liczba okresów krytycznych w sezonie wegetacyjnym może sięgać nawet kilkudziesięciu. Przydatne są do tego celu tzw. sygnalizatory okresów krytycznych.</w:t>
      </w:r>
    </w:p>
    <w:p w:rsidR="00445DF4" w:rsidRDefault="00445DF4">
      <w:p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Podstawą racjonalnego chemicznego zwalczania powinno być przeprowadzenie zabiegów w momencie zagrożenia infekcją przez grzyba. Kontynuacja metody chemicznej zależy od skutecznej ochrony w fazie infekcji pierwotnych, szczególnie do  fazy kwitnienia jabłoni. Najwięcej  zarodników workowych wysiewa się w fazie różowego pąka oraz kwitnienia.</w:t>
      </w:r>
    </w:p>
    <w:p w:rsidR="00445DF4" w:rsidRDefault="00445DF4">
      <w:pPr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445DF4" w:rsidRDefault="00445DF4">
      <w:p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W sadach, </w:t>
      </w:r>
      <w:r w:rsidR="004068BA">
        <w:rPr>
          <w:rFonts w:ascii="Microsoft Sans Serif" w:hAnsi="Microsoft Sans Serif" w:cs="Microsoft Sans Serif"/>
          <w:sz w:val="20"/>
          <w:szCs w:val="20"/>
        </w:rPr>
        <w:t xml:space="preserve">w </w:t>
      </w:r>
      <w:r>
        <w:rPr>
          <w:rFonts w:ascii="Microsoft Sans Serif" w:hAnsi="Microsoft Sans Serif" w:cs="Microsoft Sans Serif"/>
          <w:sz w:val="20"/>
          <w:szCs w:val="20"/>
        </w:rPr>
        <w:t>których po zakończeniu infekcji pierwotnych nie stwierdzono objawów parcha jabłoni, ochronę chemiczną można ograniczyć do zabiegów w okresie wystąpienia długotrwałych opadów. W innych sadach powinna być kontynuowana do okresu zbiorów.</w:t>
      </w:r>
    </w:p>
    <w:sectPr w:rsidR="00445DF4">
      <w:headerReference w:type="default" r:id="rId9"/>
      <w:footerReference w:type="first" r:id="rId10"/>
      <w:pgSz w:w="11906" w:h="16838"/>
      <w:pgMar w:top="851" w:right="1133" w:bottom="426" w:left="1276" w:header="142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6C" w:rsidRDefault="0012156C">
      <w:r>
        <w:separator/>
      </w:r>
    </w:p>
  </w:endnote>
  <w:endnote w:type="continuationSeparator" w:id="0">
    <w:p w:rsidR="0012156C" w:rsidRDefault="0012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F4" w:rsidRDefault="00445DF4">
    <w:pPr>
      <w:rPr>
        <w:rFonts w:ascii="Microsoft Sans Serif" w:hAnsi="Microsoft Sans Serif" w:cs="Microsoft Sans Serif"/>
        <w:sz w:val="20"/>
        <w:szCs w:val="20"/>
      </w:rPr>
    </w:pPr>
    <w:r>
      <w:rPr>
        <w:rFonts w:ascii="Microsoft Sans Serif" w:hAnsi="Microsoft Sans Serif" w:cs="Microsoft Sans Serif"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35pt;margin-top:7.45pt;width:450pt;height:0;z-index:251657728" o:connectortype="straight" strokecolor="#7f7f7f" strokeweight=".25pt">
          <v:shadow type="perspective" color="#7f7f7f" opacity=".5" offset="1pt,0" offset2="-1pt,-4pt"/>
        </v:shape>
      </w:pict>
    </w:r>
  </w:p>
  <w:p w:rsidR="00BC303F" w:rsidRDefault="00BC303F" w:rsidP="00BC303F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Środki ochrony roślin</w:t>
    </w:r>
    <w:r>
      <w:rPr>
        <w:rFonts w:ascii="Times New Roman" w:hAnsi="Times New Roman"/>
        <w:sz w:val="20"/>
        <w:szCs w:val="20"/>
      </w:rPr>
      <w:t>:</w:t>
    </w:r>
  </w:p>
  <w:p w:rsidR="00BC303F" w:rsidRDefault="00BC303F" w:rsidP="00BC303F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Dostęp do informacji o środkach ochrony roślin dopuszczonych do obrotu i stosowania przez Ministra Rolnictwa </w:t>
    </w:r>
  </w:p>
  <w:p w:rsidR="00BC303F" w:rsidRDefault="00BC303F" w:rsidP="00BC303F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 Rozwoju Wsi:</w:t>
    </w:r>
  </w:p>
  <w:p w:rsidR="00BC303F" w:rsidRDefault="00BC303F" w:rsidP="00BC303F">
    <w:pPr>
      <w:pStyle w:val="Akapitzlist"/>
      <w:widowControl w:val="0"/>
      <w:numPr>
        <w:ilvl w:val="0"/>
        <w:numId w:val="27"/>
      </w:numPr>
      <w:tabs>
        <w:tab w:val="left" w:pos="1440"/>
      </w:tabs>
      <w:suppressAutoHyphens/>
      <w:snapToGrid w:val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Wyszukiwarka dająca możliwość łatwego uzyskania informacji o zalecanych środkach ochrony roślin </w:t>
    </w:r>
  </w:p>
  <w:p w:rsidR="00BC303F" w:rsidRDefault="00BC303F" w:rsidP="00BC303F">
    <w:pPr>
      <w:pStyle w:val="Akapitzlist"/>
      <w:widowControl w:val="0"/>
      <w:tabs>
        <w:tab w:val="left" w:pos="1440"/>
      </w:tabs>
      <w:suppressAutoHyphens/>
      <w:snapToGrid w:val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w danych uprawach, na danego </w:t>
    </w:r>
    <w:proofErr w:type="spellStart"/>
    <w:r>
      <w:rPr>
        <w:rFonts w:ascii="Times New Roman" w:hAnsi="Times New Roman"/>
        <w:sz w:val="20"/>
        <w:szCs w:val="20"/>
      </w:rPr>
      <w:t>agrofaga</w:t>
    </w:r>
    <w:proofErr w:type="spellEnd"/>
    <w:r>
      <w:rPr>
        <w:rFonts w:ascii="Times New Roman" w:hAnsi="Times New Roman"/>
        <w:sz w:val="20"/>
        <w:szCs w:val="20"/>
      </w:rPr>
      <w:t xml:space="preserve"> - </w:t>
    </w:r>
    <w:r>
      <w:rPr>
        <w:rFonts w:ascii="Times New Roman" w:hAnsi="Times New Roman"/>
        <w:sz w:val="20"/>
        <w:szCs w:val="20"/>
        <w:u w:val="single"/>
      </w:rPr>
      <w:t>kliknij tutaj</w:t>
    </w:r>
    <w:r>
      <w:rPr>
        <w:rFonts w:ascii="Times New Roman" w:hAnsi="Times New Roman"/>
        <w:sz w:val="20"/>
        <w:szCs w:val="20"/>
      </w:rPr>
      <w:t xml:space="preserve"> </w:t>
    </w:r>
  </w:p>
  <w:p w:rsidR="00BC303F" w:rsidRDefault="00BC303F" w:rsidP="00BC303F">
    <w:pPr>
      <w:pStyle w:val="Akapitzlist"/>
      <w:widowControl w:val="0"/>
      <w:tabs>
        <w:tab w:val="left" w:pos="1440"/>
      </w:tabs>
      <w:suppressAutoHyphens/>
      <w:snapToGrid w:val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(</w:t>
    </w:r>
    <w:hyperlink r:id="rId1" w:history="1">
      <w:r>
        <w:rPr>
          <w:rStyle w:val="Hipercze"/>
          <w:sz w:val="20"/>
          <w:szCs w:val="20"/>
        </w:rPr>
        <w:t>http://www.minrol.gov.pl/pol/Informacje-branzowe/Wyszukiwarka-srodkow-ochrony-roslin</w:t>
      </w:r>
    </w:hyperlink>
    <w:r>
      <w:rPr>
        <w:rFonts w:ascii="Times New Roman" w:hAnsi="Times New Roman"/>
        <w:sz w:val="20"/>
        <w:szCs w:val="20"/>
      </w:rPr>
      <w:t xml:space="preserve">), </w:t>
    </w:r>
  </w:p>
  <w:p w:rsidR="00BC303F" w:rsidRDefault="00BC303F" w:rsidP="00BC303F">
    <w:pPr>
      <w:pStyle w:val="Akapitzlist"/>
      <w:widowControl w:val="0"/>
      <w:numPr>
        <w:ilvl w:val="0"/>
        <w:numId w:val="27"/>
      </w:numPr>
      <w:tabs>
        <w:tab w:val="left" w:pos="1440"/>
      </w:tabs>
      <w:suppressAutoHyphens/>
      <w:snapToGrid w:val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Etykiety stosowania środków ochrony roślin dopuszczonych do obrotu i stosowania zezwoleniem Ministra Rolnictwa i Rozwoju Wsi - </w:t>
    </w:r>
    <w:r>
      <w:rPr>
        <w:rFonts w:ascii="Times New Roman" w:hAnsi="Times New Roman"/>
        <w:sz w:val="20"/>
        <w:szCs w:val="20"/>
        <w:u w:val="single"/>
      </w:rPr>
      <w:t>kliknij tutaj</w:t>
    </w:r>
    <w:r>
      <w:rPr>
        <w:rFonts w:ascii="Times New Roman" w:hAnsi="Times New Roman"/>
        <w:sz w:val="20"/>
        <w:szCs w:val="20"/>
      </w:rPr>
      <w:t xml:space="preserve"> (</w:t>
    </w:r>
    <w:hyperlink r:id="rId2" w:history="1">
      <w:r>
        <w:rPr>
          <w:rStyle w:val="Hipercze"/>
          <w:sz w:val="20"/>
          <w:szCs w:val="20"/>
        </w:rPr>
        <w:t>http://www.bip.minrol.gov.pl/DesktopDefault.aspx?TabOrgId=648&amp;LangId=0</w:t>
      </w:r>
    </w:hyperlink>
    <w:r>
      <w:rPr>
        <w:rFonts w:ascii="Times New Roman" w:hAnsi="Times New Roman"/>
        <w:sz w:val="20"/>
        <w:szCs w:val="20"/>
      </w:rPr>
      <w:t>).</w:t>
    </w:r>
  </w:p>
  <w:p w:rsidR="00BC303F" w:rsidRDefault="00BC303F" w:rsidP="00BC303F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Uwagi</w:t>
    </w:r>
    <w:r>
      <w:rPr>
        <w:rFonts w:ascii="Times New Roman" w:hAnsi="Times New Roman"/>
        <w:sz w:val="20"/>
        <w:szCs w:val="20"/>
      </w:rPr>
      <w:t>:</w:t>
    </w:r>
  </w:p>
  <w:p w:rsidR="00BC303F" w:rsidRDefault="00BC303F" w:rsidP="00BC303F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Zaleca się wykonywać zabiegi środkami ochrony roślin z uwzględnieniem stosowania w pierwszej kolejności metod biologicznych, agrotechnicznych i hodowlanych.</w:t>
    </w:r>
  </w:p>
  <w:p w:rsidR="00BC303F" w:rsidRDefault="00BC303F" w:rsidP="00BC303F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Zgodnie z ustawą o środkach ochrony roślin:</w:t>
    </w:r>
  </w:p>
  <w:p w:rsidR="00BC303F" w:rsidRDefault="00BC303F" w:rsidP="00BC303F">
    <w:pPr>
      <w:pStyle w:val="Akapitzlist"/>
      <w:widowControl w:val="0"/>
      <w:numPr>
        <w:ilvl w:val="0"/>
        <w:numId w:val="28"/>
      </w:numPr>
      <w:tabs>
        <w:tab w:val="left" w:pos="1440"/>
      </w:tabs>
      <w:suppressAutoHyphens/>
      <w:snapToGrid w:val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Środki ochrony roślin mogą być stosowane jeżeli zostały dopuszczone do obrotu i stosowania</w:t>
    </w:r>
    <w:bookmarkStart w:id="0" w:name="_GoBack"/>
    <w:bookmarkEnd w:id="0"/>
    <w:r>
      <w:rPr>
        <w:rFonts w:ascii="Times New Roman" w:hAnsi="Times New Roman"/>
        <w:sz w:val="20"/>
        <w:szCs w:val="20"/>
      </w:rPr>
      <w:t xml:space="preserve">. </w:t>
    </w:r>
  </w:p>
  <w:p w:rsidR="00BC303F" w:rsidRDefault="00BC303F" w:rsidP="00BC303F">
    <w:pPr>
      <w:pStyle w:val="Akapitzlist"/>
      <w:widowControl w:val="0"/>
      <w:numPr>
        <w:ilvl w:val="0"/>
        <w:numId w:val="28"/>
      </w:numPr>
      <w:tabs>
        <w:tab w:val="left" w:pos="1440"/>
      </w:tabs>
      <w:suppressAutoHyphens/>
      <w:snapToGrid w:val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Środki ochrony roślin należy stosować w taki sposób, aby nie stwarzać zagrożenia dla zdrowia ludzi, zwierząt oraz dla środowiska, w tym przeciwdziałać zniesieniu środków ochrony roślin na obszary i obiekty niebędące celem zabiegu z zastosowaniem tych środków oraz planować stosowanie środków ochrony roślin z uwzględnieniem okresu, w którym ludzie będą przebywać na obszarze objętym zabiegiem.</w:t>
    </w:r>
  </w:p>
  <w:p w:rsidR="00BC303F" w:rsidRDefault="00BC303F" w:rsidP="00BC303F">
    <w:pPr>
      <w:pStyle w:val="Akapitzlist"/>
      <w:widowControl w:val="0"/>
      <w:numPr>
        <w:ilvl w:val="0"/>
        <w:numId w:val="28"/>
      </w:numPr>
      <w:tabs>
        <w:tab w:val="left" w:pos="1440"/>
      </w:tabs>
      <w:suppressAutoHyphens/>
      <w:snapToGrid w:val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Środki ochrony roślin stosuje się sprzętem sprawnym technicznie.</w:t>
    </w:r>
  </w:p>
  <w:p w:rsidR="00BC303F" w:rsidRDefault="00BC303F" w:rsidP="00BC303F">
    <w:pPr>
      <w:pStyle w:val="Akapitzlist"/>
      <w:widowControl w:val="0"/>
      <w:numPr>
        <w:ilvl w:val="0"/>
        <w:numId w:val="28"/>
      </w:numPr>
      <w:tabs>
        <w:tab w:val="left" w:pos="1440"/>
      </w:tabs>
      <w:suppressAutoHyphens/>
      <w:snapToGrid w:val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Zabieg z zastosowaniem środków ochrony roślin przeznaczonych dla użytkowników profesjonalnych może być wykonywany przez osoby przeszkolone, zgodnie z art. 41 w/w ustawy.</w:t>
    </w:r>
  </w:p>
  <w:p w:rsidR="00BC303F" w:rsidRPr="00B04F18" w:rsidRDefault="00BC303F" w:rsidP="00BC303F">
    <w:pPr>
      <w:pStyle w:val="Akapitzlist"/>
      <w:widowControl w:val="0"/>
      <w:numPr>
        <w:ilvl w:val="0"/>
        <w:numId w:val="28"/>
      </w:numPr>
      <w:tabs>
        <w:tab w:val="left" w:pos="1440"/>
      </w:tabs>
      <w:suppressAutoHyphens/>
      <w:snapToGrid w:val="0"/>
      <w:jc w:val="both"/>
      <w:rPr>
        <w:rFonts w:ascii="Times New Roman" w:hAnsi="Times New Roman"/>
      </w:rPr>
    </w:pPr>
    <w:r>
      <w:rPr>
        <w:rFonts w:ascii="Times New Roman" w:hAnsi="Times New Roman"/>
        <w:sz w:val="20"/>
        <w:szCs w:val="20"/>
      </w:rPr>
      <w:t>Profesjonalni użytkownicy środków ochrony roślin są zobowiązani do prowadzenia dokumentacji dotyczącej stosowanych przez nich środków ochrony roślin i przechowywania jej przez co najmniej 3 lata.</w:t>
    </w:r>
  </w:p>
  <w:p w:rsidR="00445DF4" w:rsidRDefault="00445DF4" w:rsidP="00BC303F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6C" w:rsidRDefault="0012156C">
      <w:r>
        <w:separator/>
      </w:r>
    </w:p>
  </w:footnote>
  <w:footnote w:type="continuationSeparator" w:id="0">
    <w:p w:rsidR="0012156C" w:rsidRDefault="0012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F4" w:rsidRDefault="00445DF4">
    <w:pPr>
      <w:pStyle w:val="Nagwek"/>
    </w:pPr>
  </w:p>
  <w:p w:rsidR="00445DF4" w:rsidRDefault="00445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14B"/>
    <w:multiLevelType w:val="hybridMultilevel"/>
    <w:tmpl w:val="DAE2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341A"/>
    <w:multiLevelType w:val="hybridMultilevel"/>
    <w:tmpl w:val="F5AEA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A4321"/>
    <w:multiLevelType w:val="hybridMultilevel"/>
    <w:tmpl w:val="368AB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5497C"/>
    <w:multiLevelType w:val="hybridMultilevel"/>
    <w:tmpl w:val="9B54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C7061"/>
    <w:multiLevelType w:val="hybridMultilevel"/>
    <w:tmpl w:val="23C6A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95587"/>
    <w:multiLevelType w:val="hybridMultilevel"/>
    <w:tmpl w:val="9ABA6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91593"/>
    <w:multiLevelType w:val="hybridMultilevel"/>
    <w:tmpl w:val="CB52C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B1D6C"/>
    <w:multiLevelType w:val="hybridMultilevel"/>
    <w:tmpl w:val="DC94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E3308"/>
    <w:multiLevelType w:val="hybridMultilevel"/>
    <w:tmpl w:val="1046A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5F16CD"/>
    <w:multiLevelType w:val="hybridMultilevel"/>
    <w:tmpl w:val="E22E7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8289A"/>
    <w:multiLevelType w:val="hybridMultilevel"/>
    <w:tmpl w:val="D1AA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B66CC"/>
    <w:multiLevelType w:val="hybridMultilevel"/>
    <w:tmpl w:val="B38C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3769C"/>
    <w:multiLevelType w:val="hybridMultilevel"/>
    <w:tmpl w:val="13DA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20718"/>
    <w:multiLevelType w:val="hybridMultilevel"/>
    <w:tmpl w:val="82F0A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B5EC5"/>
    <w:multiLevelType w:val="hybridMultilevel"/>
    <w:tmpl w:val="FE941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33BFD"/>
    <w:multiLevelType w:val="hybridMultilevel"/>
    <w:tmpl w:val="48E25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E257A"/>
    <w:multiLevelType w:val="hybridMultilevel"/>
    <w:tmpl w:val="DA1A9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D5C3F"/>
    <w:multiLevelType w:val="hybridMultilevel"/>
    <w:tmpl w:val="65AE5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C04C9"/>
    <w:multiLevelType w:val="hybridMultilevel"/>
    <w:tmpl w:val="9894D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B1121"/>
    <w:multiLevelType w:val="hybridMultilevel"/>
    <w:tmpl w:val="AFB2D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664DD"/>
    <w:multiLevelType w:val="hybridMultilevel"/>
    <w:tmpl w:val="9342E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42049"/>
    <w:multiLevelType w:val="hybridMultilevel"/>
    <w:tmpl w:val="BF304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90F0F"/>
    <w:multiLevelType w:val="hybridMultilevel"/>
    <w:tmpl w:val="C3147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17C53"/>
    <w:multiLevelType w:val="hybridMultilevel"/>
    <w:tmpl w:val="A022A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11184"/>
    <w:multiLevelType w:val="hybridMultilevel"/>
    <w:tmpl w:val="6CA0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70834"/>
    <w:multiLevelType w:val="hybridMultilevel"/>
    <w:tmpl w:val="DD164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96CD1"/>
    <w:multiLevelType w:val="hybridMultilevel"/>
    <w:tmpl w:val="99167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331D1"/>
    <w:multiLevelType w:val="hybridMultilevel"/>
    <w:tmpl w:val="CC7895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23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27"/>
  </w:num>
  <w:num w:numId="12">
    <w:abstractNumId w:val="25"/>
  </w:num>
  <w:num w:numId="13">
    <w:abstractNumId w:val="13"/>
  </w:num>
  <w:num w:numId="14">
    <w:abstractNumId w:val="26"/>
  </w:num>
  <w:num w:numId="15">
    <w:abstractNumId w:val="16"/>
  </w:num>
  <w:num w:numId="16">
    <w:abstractNumId w:val="4"/>
  </w:num>
  <w:num w:numId="17">
    <w:abstractNumId w:val="7"/>
  </w:num>
  <w:num w:numId="18">
    <w:abstractNumId w:val="17"/>
  </w:num>
  <w:num w:numId="19">
    <w:abstractNumId w:val="24"/>
  </w:num>
  <w:num w:numId="20">
    <w:abstractNumId w:val="14"/>
  </w:num>
  <w:num w:numId="21">
    <w:abstractNumId w:val="9"/>
  </w:num>
  <w:num w:numId="22">
    <w:abstractNumId w:val="0"/>
  </w:num>
  <w:num w:numId="23">
    <w:abstractNumId w:val="2"/>
  </w:num>
  <w:num w:numId="24">
    <w:abstractNumId w:val="18"/>
  </w:num>
  <w:num w:numId="25">
    <w:abstractNumId w:val="15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>
      <o:colormenu v:ext="edit" strokecolor="none [1612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96D93"/>
    <w:rsid w:val="000D44B5"/>
    <w:rsid w:val="0012156C"/>
    <w:rsid w:val="00170402"/>
    <w:rsid w:val="00214809"/>
    <w:rsid w:val="00232562"/>
    <w:rsid w:val="00257EDB"/>
    <w:rsid w:val="002B3EA5"/>
    <w:rsid w:val="00393DBD"/>
    <w:rsid w:val="00405C7F"/>
    <w:rsid w:val="004068BA"/>
    <w:rsid w:val="00445DF4"/>
    <w:rsid w:val="004527DB"/>
    <w:rsid w:val="0046372A"/>
    <w:rsid w:val="004E3CC6"/>
    <w:rsid w:val="00700206"/>
    <w:rsid w:val="007040F2"/>
    <w:rsid w:val="007F28E8"/>
    <w:rsid w:val="00842CDF"/>
    <w:rsid w:val="00866202"/>
    <w:rsid w:val="008E08C1"/>
    <w:rsid w:val="00922BD5"/>
    <w:rsid w:val="00942F61"/>
    <w:rsid w:val="0098642E"/>
    <w:rsid w:val="00AA74E9"/>
    <w:rsid w:val="00AF1FE8"/>
    <w:rsid w:val="00AF7204"/>
    <w:rsid w:val="00BC303F"/>
    <w:rsid w:val="00C80589"/>
    <w:rsid w:val="00C96D93"/>
    <w:rsid w:val="00D05078"/>
    <w:rsid w:val="00E966F8"/>
    <w:rsid w:val="00F7656E"/>
    <w:rsid w:val="00F87084"/>
    <w:rsid w:val="00FD5C0C"/>
    <w:rsid w:val="00FF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basedOn w:val="Domylnaczcionkaakapitu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semiHidden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semiHidden/>
    <w:rPr>
      <w:b/>
      <w:bCs/>
    </w:rPr>
  </w:style>
  <w:style w:type="character" w:customStyle="1" w:styleId="Nagwek7Znak">
    <w:name w:val="Nagłówek 7 Znak"/>
    <w:basedOn w:val="Domylnaczcionkaakapitu"/>
    <w:semiHidden/>
    <w:rPr>
      <w:sz w:val="24"/>
      <w:szCs w:val="24"/>
    </w:rPr>
  </w:style>
  <w:style w:type="character" w:customStyle="1" w:styleId="Nagwek8Znak">
    <w:name w:val="Nagłówek 8 Znak"/>
    <w:basedOn w:val="Domylnaczcionkaakapitu"/>
    <w:semiHidden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semiHidden/>
    <w:rPr>
      <w:rFonts w:ascii="Cambria" w:eastAsia="Times New Roman" w:hAnsi="Cambria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qFormat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Uwydatnienie">
    <w:name w:val="Emphasis"/>
    <w:basedOn w:val="Domylnaczcionkaakapitu"/>
    <w:qFormat/>
    <w:rPr>
      <w:rFonts w:ascii="Calibri" w:hAnsi="Calibri"/>
      <w:b/>
      <w:i/>
      <w:iCs/>
    </w:rPr>
  </w:style>
  <w:style w:type="paragraph" w:styleId="Bezodstpw">
    <w:name w:val="No Spacing"/>
    <w:basedOn w:val="Normalny"/>
    <w:qFormat/>
    <w:rPr>
      <w:szCs w:val="3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Cytat">
    <w:name w:val="Quote"/>
    <w:basedOn w:val="Normalny"/>
    <w:next w:val="Normalny"/>
    <w:qFormat/>
    <w:rPr>
      <w:i/>
    </w:rPr>
  </w:style>
  <w:style w:type="character" w:customStyle="1" w:styleId="CytatZnak">
    <w:name w:val="Cytat Znak"/>
    <w:basedOn w:val="Domylnaczcionkaakapitu"/>
    <w:rPr>
      <w:i/>
      <w:sz w:val="24"/>
      <w:szCs w:val="24"/>
    </w:rPr>
  </w:style>
  <w:style w:type="paragraph" w:styleId="Cytatintensywny">
    <w:name w:val="Intense Quote"/>
    <w:basedOn w:val="Normalny"/>
    <w:next w:val="Normalny"/>
    <w:qFormat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rPr>
      <w:b/>
      <w:i/>
      <w:sz w:val="24"/>
    </w:rPr>
  </w:style>
  <w:style w:type="character" w:styleId="Wyrnieniedelikatne">
    <w:name w:val="Subtle Emphasis"/>
    <w:qFormat/>
    <w:rPr>
      <w:i/>
      <w:color w:val="5A5A5A"/>
    </w:rPr>
  </w:style>
  <w:style w:type="character" w:styleId="Wyrnienieintensywne">
    <w:name w:val="Intense Emphasis"/>
    <w:basedOn w:val="Domylnaczcionkaakapitu"/>
    <w:qFormat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Pr>
      <w:sz w:val="24"/>
      <w:szCs w:val="24"/>
      <w:u w:val="single"/>
    </w:rPr>
  </w:style>
  <w:style w:type="character" w:styleId="Odwoanieintensywne">
    <w:name w:val="Intense Reference"/>
    <w:basedOn w:val="Domylnaczcionkaakapitu"/>
    <w:qFormat/>
    <w:rPr>
      <w:b/>
      <w:sz w:val="24"/>
      <w:u w:val="single"/>
    </w:rPr>
  </w:style>
  <w:style w:type="character" w:styleId="Tytuksiki">
    <w:name w:val="Book Title"/>
    <w:basedOn w:val="Domylnaczcionkaakapitu"/>
    <w:qFormat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qFormat/>
    <w:pPr>
      <w:outlineLvl w:val="9"/>
    </w:p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Pr>
      <w:vertAlign w:val="superscript"/>
    </w:rPr>
  </w:style>
  <w:style w:type="character" w:styleId="Hipercze">
    <w:name w:val="Hyperlink"/>
    <w:basedOn w:val="Domylnaczcionkaakapitu"/>
    <w:unhideWhenUsed/>
    <w:rPr>
      <w:color w:val="0000FF"/>
      <w:u w:val="single"/>
    </w:rPr>
  </w:style>
  <w:style w:type="character" w:styleId="Tekstzastpczy">
    <w:name w:val="Placeholder Text"/>
    <w:basedOn w:val="Domylnaczcionkaakapitu"/>
    <w:semiHidden/>
    <w:rPr>
      <w:color w:val="808080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sz w:val="24"/>
      <w:szCs w:val="24"/>
      <w:lang w:val="en-US" w:eastAsia="en-US" w:bidi="en-US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Pr>
      <w:sz w:val="24"/>
      <w:szCs w:val="24"/>
      <w:lang w:val="en-US" w:eastAsia="en-US" w:bidi="en-US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p.minrol.gov.pl/DesktopDefault.aspx?TabOrgId=648&amp;LangId=0" TargetMode="External"/><Relationship Id="rId1" Type="http://schemas.openxmlformats.org/officeDocument/2006/relationships/hyperlink" Target="http://www.minrol.gov.pl/pol/Informacje-branzowe/Wyszukiwarka-srodkow-ochrony-rosl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Olsztyn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Użytkownik</cp:lastModifiedBy>
  <cp:revision>3</cp:revision>
  <cp:lastPrinted>2010-04-23T10:47:00Z</cp:lastPrinted>
  <dcterms:created xsi:type="dcterms:W3CDTF">2014-03-21T08:20:00Z</dcterms:created>
  <dcterms:modified xsi:type="dcterms:W3CDTF">2014-03-21T08:22:00Z</dcterms:modified>
</cp:coreProperties>
</file>